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kern w:val="21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kern w:val="21"/>
          <w:sz w:val="44"/>
          <w:szCs w:val="44"/>
        </w:rPr>
        <w:t>石柱土家族自治县人民政府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kern w:val="21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kern w:val="21"/>
          <w:sz w:val="44"/>
          <w:szCs w:val="44"/>
        </w:rPr>
        <w:t>关于划定渝利铁路黄水站安全保护区的公告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石柱府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公</w:t>
      </w:r>
      <w:r>
        <w:rPr>
          <w:rFonts w:ascii="Times New Roman" w:hAnsi="Times New Roman" w:eastAsia="方正仿宋_GBK"/>
          <w:snapToGrid w:val="0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3</w:t>
      </w:r>
      <w:r>
        <w:rPr>
          <w:rFonts w:ascii="Times New Roman" w:hAnsi="Times New Roman" w:eastAsia="方正仿宋_GBK"/>
          <w:snapToGrid w:val="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1</w:t>
      </w:r>
      <w:r>
        <w:rPr>
          <w:rFonts w:ascii="Times New Roman" w:hAnsi="Times New Roman" w:eastAsia="方正仿宋_GBK"/>
          <w:snapToGrid w:val="0"/>
          <w:sz w:val="32"/>
          <w:szCs w:val="32"/>
        </w:rPr>
        <w:t>号</w:t>
      </w:r>
    </w:p>
    <w:p>
      <w:pPr>
        <w:snapToGrid w:val="0"/>
        <w:spacing w:line="560" w:lineRule="exact"/>
        <w:rPr>
          <w:rFonts w:ascii="Times New Roman" w:hAnsi="Times New Roman"/>
          <w:snapToGrid w:val="0"/>
          <w:kern w:val="21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为加强渝利铁路安全管理，保障广大人民群众生命财产安全，根据《铁路安全管理条例》（国务院令第</w:t>
      </w:r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</w:rPr>
        <w:t>639号</w:t>
      </w:r>
      <w:r>
        <w:rPr>
          <w:rFonts w:hint="eastAsia" w:ascii="方正仿宋_GBK" w:eastAsia="方正仿宋_GBK"/>
          <w:snapToGrid w:val="0"/>
          <w:sz w:val="32"/>
          <w:szCs w:val="32"/>
        </w:rPr>
        <w:t>）有关规定，结合黄水站实际情况，现将渝利铁路黄水站线路安全保护区有关事项公告如下：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一、安全保护区范围：渝利铁路</w:t>
      </w:r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</w:rPr>
        <w:t>K1437+860—K1439+140区间铁路沿线路堤坡脚、路堑坡顶及铁路桥梁外侧起向外的距离分别为：村镇居民居住区12米，其他地区15米。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二、设立标桩：铁路线路安全保护区划定后，铁路运输企业应当进行勘界，并设立标桩。铁路沿线的有关企事业单位、组织和群众应当给予支持和配合。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三、在铁路沿线从事生产、生活或者其他活动的，应当遵守《铁路安全管理条例》（国务院令</w:t>
      </w:r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</w:rPr>
        <w:t>第639号</w:t>
      </w:r>
      <w:r>
        <w:rPr>
          <w:rFonts w:hint="eastAsia" w:ascii="方正仿宋_GBK" w:eastAsia="方正仿宋_GBK"/>
          <w:snapToGrid w:val="0"/>
          <w:sz w:val="32"/>
          <w:szCs w:val="32"/>
        </w:rPr>
        <w:t>）的相关规定。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特此公告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wordWrap w:val="0"/>
        <w:snapToGrid w:val="0"/>
        <w:spacing w:line="560" w:lineRule="exact"/>
        <w:ind w:firstLine="480" w:firstLineChars="150"/>
        <w:jc w:val="right"/>
        <w:rPr>
          <w:rFonts w:ascii="Times New Roman" w:hAnsi="Times New Roman" w:eastAsia="方正仿宋_GBK"/>
          <w:snapToGrid w:val="0"/>
          <w:kern w:val="21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</w:rPr>
        <w:t>石</w:t>
      </w:r>
      <w:r>
        <w:rPr>
          <w:rFonts w:ascii="Times New Roman" w:hAnsi="Times New Roman" w:eastAsia="方正仿宋_GBK"/>
          <w:snapToGrid w:val="0"/>
          <w:kern w:val="21"/>
          <w:sz w:val="32"/>
          <w:szCs w:val="32"/>
        </w:rPr>
        <w:t>柱土家族自治县</w:t>
      </w:r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</w:rPr>
        <w:t xml:space="preserve">人民政府    </w:t>
      </w:r>
    </w:p>
    <w:p>
      <w:pPr>
        <w:wordWrap w:val="0"/>
        <w:snapToGrid w:val="0"/>
        <w:spacing w:line="560" w:lineRule="exact"/>
        <w:ind w:firstLine="480" w:firstLineChars="150"/>
        <w:jc w:val="center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Times New Roman" w:hAnsi="Times New Roman" w:eastAsia="方正仿宋_GBK"/>
          <w:snapToGrid w:val="0"/>
          <w:kern w:val="21"/>
          <w:sz w:val="32"/>
          <w:szCs w:val="32"/>
        </w:rPr>
        <w:t>2023年4月3日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重庆市石柱土家族自治县人民政府办公室发布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石柱土家族自治县人民政府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jU2NDZjZjM2MmJjMGU0MDRiZTJkMTkwYWIxNjk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9FB5BA6"/>
    <w:rsid w:val="1CF734C9"/>
    <w:rsid w:val="1DEC284C"/>
    <w:rsid w:val="1E4E59B9"/>
    <w:rsid w:val="1E6523AC"/>
    <w:rsid w:val="218A3AC3"/>
    <w:rsid w:val="22440422"/>
    <w:rsid w:val="22BB4BBB"/>
    <w:rsid w:val="24651FCA"/>
    <w:rsid w:val="25C74149"/>
    <w:rsid w:val="26C70D88"/>
    <w:rsid w:val="2A952A67"/>
    <w:rsid w:val="2AA54DE6"/>
    <w:rsid w:val="2AEB3417"/>
    <w:rsid w:val="31A15F24"/>
    <w:rsid w:val="36FB1DF0"/>
    <w:rsid w:val="37075514"/>
    <w:rsid w:val="383A2A0D"/>
    <w:rsid w:val="39047388"/>
    <w:rsid w:val="395347B5"/>
    <w:rsid w:val="39A232A0"/>
    <w:rsid w:val="39C822CF"/>
    <w:rsid w:val="39E745AA"/>
    <w:rsid w:val="3B5A6BBB"/>
    <w:rsid w:val="3EDA13A6"/>
    <w:rsid w:val="417B75E9"/>
    <w:rsid w:val="42F058B7"/>
    <w:rsid w:val="436109F6"/>
    <w:rsid w:val="436239D7"/>
    <w:rsid w:val="441A38D4"/>
    <w:rsid w:val="44E67CEF"/>
    <w:rsid w:val="4504239D"/>
    <w:rsid w:val="450A4D85"/>
    <w:rsid w:val="47525B10"/>
    <w:rsid w:val="4BC77339"/>
    <w:rsid w:val="4C9236C5"/>
    <w:rsid w:val="4E250A85"/>
    <w:rsid w:val="4E664705"/>
    <w:rsid w:val="4FFD4925"/>
    <w:rsid w:val="505C172E"/>
    <w:rsid w:val="506405EA"/>
    <w:rsid w:val="512A0B7A"/>
    <w:rsid w:val="52F46F0B"/>
    <w:rsid w:val="532B6A10"/>
    <w:rsid w:val="53D8014D"/>
    <w:rsid w:val="55E064E0"/>
    <w:rsid w:val="572C6D10"/>
    <w:rsid w:val="5C7C66BB"/>
    <w:rsid w:val="5DC34279"/>
    <w:rsid w:val="5FCD688E"/>
    <w:rsid w:val="5FF9BDAA"/>
    <w:rsid w:val="60715C33"/>
    <w:rsid w:val="608816D1"/>
    <w:rsid w:val="60EF4E7F"/>
    <w:rsid w:val="648B0A32"/>
    <w:rsid w:val="665233C1"/>
    <w:rsid w:val="69AC0D42"/>
    <w:rsid w:val="69AE7C10"/>
    <w:rsid w:val="6AD9688B"/>
    <w:rsid w:val="6D0E3F22"/>
    <w:rsid w:val="6F107211"/>
    <w:rsid w:val="6FA93114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BC458DA"/>
    <w:rsid w:val="7C9011D9"/>
    <w:rsid w:val="7DC651C5"/>
    <w:rsid w:val="7EA96C28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 （毛）"/>
    <w:basedOn w:val="1"/>
    <w:qFormat/>
    <w:uiPriority w:val="0"/>
    <w:pPr>
      <w:spacing w:line="560" w:lineRule="exact"/>
      <w:ind w:firstLine="560" w:firstLineChars="200"/>
    </w:pPr>
    <w:rPr>
      <w:rFonts w:ascii="仿宋_GB2312" w:eastAsia="仿宋_GB2312"/>
      <w:kern w:val="0"/>
      <w:sz w:val="28"/>
      <w:szCs w:val="20"/>
      <w:lang w:val="zh-CN"/>
    </w:rPr>
  </w:style>
  <w:style w:type="paragraph" w:customStyle="1" w:styleId="15">
    <w:name w:val="正文仿宋_GB2312"/>
    <w:basedOn w:val="1"/>
    <w:qFormat/>
    <w:uiPriority w:val="0"/>
    <w:pPr>
      <w:spacing w:line="560" w:lineRule="exact"/>
      <w:ind w:firstLine="560" w:firstLineChars="200"/>
      <w:jc w:val="left"/>
    </w:pPr>
    <w:rPr>
      <w:rFonts w:ascii="仿宋_GB2312" w:hAnsi="黑体" w:eastAsia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1124</Words>
  <Characters>1150</Characters>
  <Lines>1</Lines>
  <Paragraphs>1</Paragraphs>
  <TotalTime>3</TotalTime>
  <ScaleCrop>false</ScaleCrop>
  <LinksUpToDate>false</LinksUpToDate>
  <CharactersWithSpaces>1185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Acer</cp:lastModifiedBy>
  <cp:lastPrinted>2022-05-11T08:46:00Z</cp:lastPrinted>
  <dcterms:modified xsi:type="dcterms:W3CDTF">2023-04-20T09:35:11Z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E220ABB46EF74CB78154B96D121661B9_13</vt:lpwstr>
  </property>
</Properties>
</file>