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5"/>
        <w:wordWrap w:val="0"/>
        <w:topLinePunct/>
        <w:spacing w:line="594" w:lineRule="exact"/>
        <w:ind w:left="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pStyle w:val="4"/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</w:rPr>
        <w:pict>
          <v:shape id="艺术字 498" o:spid="_x0000_s2050" o:spt="136" type="#_x0000_t136" style="position:absolute;left:0pt;margin-left:13.85pt;margin-top:2.9pt;height:63.4pt;width:423pt;z-index:251660288;mso-width-relative:page;mso-height-relative:page;" fillcolor="#FF0000" filled="t" stroked="t" coordsize="21600,21600">
            <v:path/>
            <v:fill on="t" focussize="0,0"/>
            <v:stroke color="#FF0000"/>
            <v:imagedata o:title=""/>
            <o:lock v:ext="edit" aspectratio="f"/>
            <v:textpath on="t" fitshape="t" fitpath="t" trim="t" xscale="f" string="石柱土家族自治县西沱镇人民政府文件&#10;" style="font-family:华文中宋;font-size:28pt;v-text-align:center;"/>
          </v:shape>
        </w:pict>
      </w:r>
    </w:p>
    <w:p>
      <w:pPr>
        <w:pStyle w:val="5"/>
        <w:wordWrap w:val="0"/>
        <w:topLinePunct/>
        <w:spacing w:line="594" w:lineRule="exact"/>
        <w:ind w:left="0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</w:p>
    <w:p>
      <w:pPr>
        <w:wordWrap w:val="0"/>
        <w:topLinePunct/>
        <w:spacing w:line="594" w:lineRule="exact"/>
        <w:jc w:val="center"/>
        <w:rPr>
          <w:rFonts w:hint="default" w:ascii="Times New Roman" w:hAnsi="Times New Roman" w:eastAsia="方正仿宋_GBK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西府发〔202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</w:rPr>
        <w:t>号</w:t>
      </w:r>
    </w:p>
    <w:p>
      <w:pPr>
        <w:rPr>
          <w:rFonts w:eastAsia="方正仿宋_GBK"/>
          <w:sz w:val="32"/>
          <w:szCs w:val="32"/>
        </w:rPr>
      </w:pPr>
      <w:r>
        <w:rPr>
          <w:rFonts w:hint="default" w:ascii="Times New Roman" w:hAnsi="Times New Roman" w:cs="Times New Roman"/>
          <w:color w:val="auto"/>
          <w:szCs w:val="32"/>
        </w:rPr>
        <w:pict>
          <v:shape id="直接连接符 1" o:spid="_x0000_s2051" o:spt="32" type="#_x0000_t32" style="position:absolute;left:0pt;margin-left:98.7pt;margin-top:269.05pt;height:2.4pt;width:426.4pt;mso-position-horizontal-relative:page;mso-position-vertical-relative:margin;z-index:251661312;mso-width-relative:page;mso-height-relative:page;" filled="f" stroked="t" coordsize="21600,21600">
            <v:path arrowok="t"/>
            <v:fill on="f" focussize="0,0"/>
            <v:stroke weight="1.75pt" color="#FF0000"/>
            <v:imagedata o:title=""/>
            <o:lock v:ext="edit" aspectratio="f"/>
          </v:shape>
        </w:pict>
      </w:r>
    </w:p>
    <w:p>
      <w:pPr>
        <w:spacing w:line="640" w:lineRule="exact"/>
        <w:jc w:val="center"/>
        <w:rPr>
          <w:rFonts w:hint="eastAsia" w:ascii="方正小标宋_GBK" w:eastAsia="方正小标宋_GBK"/>
          <w:b/>
          <w:bCs/>
          <w:sz w:val="44"/>
          <w:szCs w:val="44"/>
          <w:lang w:eastAsia="zh-CN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西沱镇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人民政府</w:t>
      </w:r>
    </w:p>
    <w:p>
      <w:pPr>
        <w:spacing w:line="640" w:lineRule="exact"/>
        <w:jc w:val="center"/>
        <w:rPr>
          <w:rFonts w:hint="eastAsia"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关于印发2022年牛羊</w:t>
      </w:r>
      <w:r>
        <w:rPr>
          <w:rFonts w:hint="eastAsia" w:ascii="方正小标宋_GBK" w:eastAsia="方正小标宋_GBK"/>
          <w:b/>
          <w:bCs/>
          <w:sz w:val="44"/>
          <w:szCs w:val="44"/>
          <w:lang w:eastAsia="zh-CN"/>
        </w:rPr>
        <w:t>“</w:t>
      </w:r>
      <w:bookmarkStart w:id="0" w:name="_GoBack"/>
      <w:bookmarkEnd w:id="0"/>
      <w:r>
        <w:rPr>
          <w:rFonts w:hint="eastAsia" w:ascii="方正小标宋_GBK" w:eastAsia="方正小标宋_GBK"/>
          <w:b/>
          <w:bCs/>
          <w:sz w:val="44"/>
          <w:szCs w:val="44"/>
        </w:rPr>
        <w:t>两病”防控工作</w:t>
      </w:r>
    </w:p>
    <w:p>
      <w:pPr>
        <w:spacing w:line="64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方案的通知</w:t>
      </w:r>
    </w:p>
    <w:p>
      <w:pPr>
        <w:spacing w:line="56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各村（社区）、镇</w:t>
      </w:r>
      <w:r>
        <w:rPr>
          <w:rFonts w:hint="eastAsia" w:ascii="方正仿宋_GBK" w:eastAsia="方正仿宋_GBK"/>
          <w:sz w:val="32"/>
          <w:szCs w:val="32"/>
          <w:lang w:val="en-US" w:eastAsia="zh-CN"/>
        </w:rPr>
        <w:t>辖</w:t>
      </w:r>
      <w:r>
        <w:rPr>
          <w:rFonts w:hint="eastAsia" w:ascii="方正仿宋_GBK" w:eastAsia="方正仿宋_GBK"/>
          <w:sz w:val="32"/>
          <w:szCs w:val="32"/>
        </w:rPr>
        <w:t>各部门：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640" w:firstLineChars="200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根据《重庆市牛羊布病结核病防控工作实施方案》总体要求，结合我镇“两病”防控工作实际，制定了《西沱镇2022牛羊“两病”防控工作方案》，现印发给你们，请认真遵照执行。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800" w:firstLineChars="250"/>
        <w:jc w:val="left"/>
        <w:textAlignment w:val="auto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特此通知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firstLine="800" w:firstLineChars="250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方正仿宋_GBK" w:eastAsia="方正仿宋_GBK"/>
          <w:sz w:val="32"/>
          <w:szCs w:val="32"/>
          <w:lang w:val="en-US" w:eastAsia="zh-CN"/>
        </w:rPr>
        <w:t xml:space="preserve">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西沱镇人民政府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ind w:right="640" w:firstLine="800" w:firstLineChars="25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 w:val="0"/>
          <w:kern w:val="0"/>
          <w:sz w:val="44"/>
          <w:szCs w:val="44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20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西沱镇2022年牛羊布病结核病防控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4" w:lineRule="exact"/>
        <w:jc w:val="center"/>
        <w:textAlignment w:val="auto"/>
      </w:pPr>
      <w:r>
        <w:rPr>
          <w:rFonts w:hint="eastAsia" w:ascii="方正小标宋_GBK" w:hAnsi="方正小标宋_GBK" w:eastAsia="方正小标宋_GBK" w:cs="方正小标宋_GBK"/>
          <w:b w:val="0"/>
          <w:bCs w:val="0"/>
          <w:kern w:val="0"/>
          <w:sz w:val="44"/>
          <w:szCs w:val="44"/>
        </w:rPr>
        <w:t>工作方案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按照国家和重庆市《无规定动物疫病区管理办法》、石柱县《中长期动物疫病防治规划（2012-2020年）》等法律法规以及《布鲁氏菌病防治技术规范》、《牛结核病防治技术规范》等技术规范要求。遵照《重庆市牛羊布病结核病防控工作实施方案》总体要求，为加强牛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防控工作，紧密围绕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防风险、保安全、促发展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总要求，保障畜牧业生产安全和社会公共卫生安全，推进我镇畜牧业健康发展，结合我镇实际情况，特制定本实施方案。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</w:rPr>
        <w:t>一、目的及意义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属人畜共患病，世界动物卫生组织将其列为B类动物疫病，我国将其列为二类动物疫病。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对人畜健康危害严重，造成的经济损失大，社会反响强烈。近年来，受国际上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疫情影响，加之动物及动物产品跨区域调运频繁，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疫情出现快速反弹。为切实保护人民群众身体健康、扎实推进畜牧生产健康发展、特制定《西沱镇2022年牛羊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防控工作实施方案》，落实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综合防控措施，提升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防控能力和科学防控水平，有效保障畜产品安全供给具有十分重大的现实和历史意义。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二、指导思想和原则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（一）指导思想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以深入贯彻落实科学发展观为指导，坚持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预防为主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和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加强领导、密切配合，依靠科学、依法防治，群防群控、果断处置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方针，根据《中华人民共和国动物防疫法》、《重庆市动物防疫条例》、《重庆市无规定动物疫病区管理办法》等法律法规以及国家和重庆市及石柱县《中长期动物疫病防治规划（2012—2020年）》、《布鲁氏菌病防治技术规范》、《牛结核病防治技术规范》等规划和规范，采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分区域、分阶段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的防治策略，全面实施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普查、监测、监管、疫情处置、净化、宣传培训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等综合性防控措施，联防联控，推进我镇牛羊“两病”的有效防控。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（二）防控原则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1、总体原则：政府主导，社会参与。政府负总责，相关部门各负其责，充分调动社会力量广泛参与，形成政府、部门和从业人员分工明确、各司其职加以防控，达到净化目标。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2、基本原则：按照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分区域、分阶段净化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防控策略的要求，结合我镇牛羊养殖量和防控薄弱环节及与毗邻地区交界接壤的状况，对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防控坚持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四结合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基本原则：一是内防与外堵相结合。首要是加强境内存栏牛羊的防控工作，及时发现和处置病畜，坚决杜绝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在我镇发生和传播；另一方面，加强市外调入和区县之间调运牛羊的监管，严防市外疫病传入和市内疫病跨区县传播，巩固内防成果。二是监测与扑杀相结合。首要是加大疫病普查和监测力度，及时发现患病动物；另一方面，一旦发现疑似染疫动物，要及时果断处置病畜，及早消除传染源。三是重点和一般相结合。其布病防控以牛羊为主，结核病防控以奶牛和种公牛为主。推行采取分区域、分阶段、分步骤相应的综合措施开展防控工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三、实施内容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（一）疫情普查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根据每年春、秋两季集中免疫和日常补免相结合对辖区内所有存栏的牛羊全覆盖、全到位同步开展普查，并对存栏牛羊全部登记造册，实行牛羊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户口制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式化的管理。结合日常监督巡查，要将对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的监视列为重要巡查内容同步开展，同时报告。普查和巡查时，要特别重视现有或曾有流产、死胎等临床症状牛羊群的调查。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（二）疫情监测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监（检）测范围、频次和病种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（1）监（检）测范围：监（检）测范围覆盖牛羊饲养场和散养户，饲养场以场为单元，散养户以包片（责任）的责任片区为单元。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（2）监（检）测病种与频次：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种用、乳用牛：每半年逐头进行1次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监（检）测。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 xml:space="preserve">种用、乳用羊：每半年逐只进行1次布病监（检）测。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其他牛羊：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对常年存栏量达50头以上的牛饲养场、100只以上的羊饲养场和所有散养责任片区，结合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三项制度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监（检）测，每半年进行1次布病监（检）测。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kern w:val="0"/>
          <w:sz w:val="32"/>
          <w:szCs w:val="32"/>
        </w:rPr>
        <w:t>（三）动物卫生监督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养殖环节：对牛羊饲养场，按照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卫生评估、风险分级、量化监督、痕迹管理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要求，实施精细化管理。重点落实分级分频次巡查制度，严格监督养殖业主履行建立养殖档案、定期消毒养殖场地、规范无害化处理病死牛羊、及时报告疑似疫情等法定义务和主体责任。禁止对牛羊实施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免疫。对散养户，严格落实责任片区巡查制度，密切关注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疫情，重点调查牛羊流产史，建立完善防疫档案。牛羊出栏时，官方兽医要严格执行基于监（检）测的产地检疫制度，严格凭合格的监（检）测报告或风险评估报告出具检疫证明，严禁对阳性和发病后仍处隔离期间的同群牛羊出具检疫证明；对隔离期满，跟踪监测未再检出阳性的场（户）出栏的牛羊，按照有关规定，原则上只能用于屠宰，不能用于再饲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流通环节：要进一步加强对贩运户的管理，认真落实贩运户登记备案管理制度。要按照《重庆市无规定动物疫病区管理办法》规定，严格执行凭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监测报告从市外调入和市内调运非屠宰用牛羊，严禁从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疫区和布病免疫区调入牛羊。对市外调入种用乳用牛羊的，要严格执行跨省引进种用乳用动物检疫审批制度，凭审批手续从指定道口进入，调入后严格实施隔离检疫。对市内跨区县调运其它牛羊的，要严格执行事前备案和事后隔离观察制度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监督执法：要加大执法力度，严厉查处养殖、流通、屠宰等各环节的违法行为，对涉嫌刑事犯罪的，及时移送公安机关，严禁以行政处罚代替刑事司法。特别是发现以屠宰名义调入再饲养牛羊时，要从重从严实施行政处罚，并严格监督货主对违规调入牛羊立即进行屠宰或者隔离观察，落实隔离期间的全群监测措施。要加强内部稽查，严肃处理违规违纪行为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（四）应急处置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要建立疑似疫情核查制度，一旦发现疑似疫情，要立即报告，并在做好自身防护措施的前提下开展临床诊断和采样送检，监督业主采取隔离、限制移动、消毒等应急措施。一经确诊，立即报请当地政府组织有关部门按照农业部《布鲁氏菌病防治技术规范》、《牛结核病防治技术规范》要求，对患病牛羊全部扑杀；对扑杀的牛羊及其产品、流产胎儿、胎衣、排泄物等按照《病害动物和病害动物产品生物安全处理规程（GB16548—2006）》进行无害化处理。对同群受威胁牛羊，要立即隔离，限制移动，并按照相关技术规范进行跟踪监测和持续净化。要加强对周边环境、场内设施设备和进出人员、车辆的消毒。同时要开展应急流行病学调查，进行疫源追溯和追踪。对受威胁的同群畜实施隔离净化。隔离期间，按照《规模化养殖场主要动物疫病净化技术指南（试行）》（疫控监〔2014〕107号），每月监测1次，连续3次检测均为阴性，方可解除隔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楷体_GBK" w:hAnsi="方正楷体_GBK" w:eastAsia="方正楷体_GBK" w:cs="方正楷体_GBK"/>
          <w:kern w:val="0"/>
          <w:sz w:val="32"/>
          <w:szCs w:val="32"/>
        </w:rPr>
      </w:pPr>
      <w:r>
        <w:rPr>
          <w:rFonts w:hint="default" w:ascii="方正楷体_GBK" w:hAnsi="方正楷体_GBK" w:eastAsia="方正楷体_GBK" w:cs="方正楷体_GBK"/>
          <w:kern w:val="0"/>
          <w:sz w:val="32"/>
          <w:szCs w:val="32"/>
        </w:rPr>
        <w:t>（五）宣传培训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举办培训班重点培训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危害、预防措施、疫情处置、动物卫生监督执法和生物安全防护等知识。加强职工和养羊户的布病防治知识培训和健康教育。加大对牛羊屠宰、加工、经营、仓储和运输等行业的从业人员的“两病”个人防护知识宣传广泛深入开展布病防控知识的宣传教育工作，做到家喻户晓，使广大群众真正具备自我防范“两病”的技能，达到群防群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val="en-US" w:eastAsia="zh-CN"/>
        </w:rPr>
        <w:t>四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、实施时间及阶段性目标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依据《石柱县中长期动物疫病防治规划（2012-2020年）》和《石柱县牛羊布病结核病防控工作方案》(渝农办发[2016]7号)，明确目标：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2022年，进一步强化临床巡查（重点是对流产、死胎现象调查）、实验室监测和调运监管工作。力争重点区及一般区做到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零阳性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方正黑体_GBK" w:hAnsi="方正黑体_GBK" w:eastAsia="方正黑体_GBK" w:cs="方正黑体_GBK"/>
          <w:kern w:val="0"/>
          <w:sz w:val="32"/>
          <w:szCs w:val="32"/>
        </w:rPr>
      </w:pP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六</w:t>
      </w:r>
      <w:r>
        <w:rPr>
          <w:rFonts w:hint="eastAsia" w:ascii="方正黑体_GBK" w:hAnsi="方正黑体_GBK" w:eastAsia="方正黑体_GBK" w:cs="方正黑体_GBK"/>
          <w:kern w:val="0"/>
          <w:sz w:val="32"/>
          <w:szCs w:val="32"/>
          <w:lang w:eastAsia="zh-CN"/>
        </w:rPr>
        <w:t>、</w:t>
      </w:r>
      <w:r>
        <w:rPr>
          <w:rFonts w:hint="default" w:ascii="方正黑体_GBK" w:hAnsi="方正黑体_GBK" w:eastAsia="方正黑体_GBK" w:cs="方正黑体_GBK"/>
          <w:kern w:val="0"/>
          <w:sz w:val="32"/>
          <w:szCs w:val="32"/>
        </w:rPr>
        <w:t>保障措施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西沱镇人民政府作为本辖区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防控工作的实施主体，负责组织实施普查、免疫、扑杀等工作，在财力、人力、物力等方面大力支持，做到组织、经费、人员、任务、责任五落实。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4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镇农服中心畜牧兽医工作人员按照镇政府实施要求，开展辖区内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“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两病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”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防控具体工作，组织技术人员进行现场采样送检。根据实验室检测结果，参与乡政府组织对阳性羊子的扑杀处理，依法查处违反《动物防疫法》等违法违规行为。</w:t>
      </w: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keepNext w:val="0"/>
        <w:keepLines w:val="0"/>
        <w:pageBreakBefore w:val="0"/>
        <w:widowControl w:val="0"/>
        <w:pBdr>
          <w:top w:val="single" w:color="auto" w:sz="4" w:space="0"/>
          <w:bottom w:val="single" w:color="auto" w:sz="4" w:space="0"/>
        </w:pBdr>
        <w:kinsoku/>
        <w:wordWrap w:val="0"/>
        <w:overflowPunct/>
        <w:topLinePunct/>
        <w:autoSpaceDE/>
        <w:autoSpaceDN/>
        <w:bidi w:val="0"/>
        <w:adjustRightInd/>
        <w:snapToGrid/>
        <w:spacing w:line="594" w:lineRule="exact"/>
        <w:ind w:firstLine="280" w:firstLineChars="100"/>
        <w:textAlignment w:val="auto"/>
      </w:pP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 xml:space="preserve">西沱镇党政办公室              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 xml:space="preserve">    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年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月</w:t>
      </w:r>
      <w:r>
        <w:rPr>
          <w:rFonts w:hint="eastAsia" w:ascii="Times New Roman" w:hAnsi="Times New Roman" w:eastAsia="方正仿宋_GBK" w:cs="Times New Roman"/>
          <w:color w:val="auto"/>
          <w:sz w:val="28"/>
          <w:szCs w:val="28"/>
          <w:lang w:val="en-US" w:eastAsia="zh-CN"/>
        </w:rPr>
        <w:t>25</w:t>
      </w:r>
      <w:r>
        <w:rPr>
          <w:rFonts w:hint="default" w:ascii="Times New Roman" w:hAnsi="Times New Roman" w:eastAsia="方正仿宋_GBK" w:cs="Times New Roman"/>
          <w:color w:val="auto"/>
          <w:sz w:val="28"/>
          <w:szCs w:val="28"/>
        </w:rPr>
        <w:t>日印发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7EBCE0B-6639-46E7-AB7D-F7C4D9619F7F}"/>
  </w:font>
  <w:font w:name="方正仿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A8CB2DBC-F918-4254-A394-29094F7BE535}"/>
  </w:font>
  <w:font w:name="方正小标宋_GBK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3" w:fontKey="{A16FED2A-351A-4439-8E62-E3429788096B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4" w:fontKey="{330A7DD4-2499-4080-9BB5-8591FA6C6B12}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5" w:fontKey="{F42593EC-9FB2-475F-BDFC-A1C4F0A23B1C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w:pict>
        <v:shape id="_x0000_s3073" o:spid="_x0000_s3073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4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sz w:val="32"/>
                    <w:szCs w:val="32"/>
                    <w:lang w:val="en-US" w:eastAsia="zh-CN"/>
                  </w:rPr>
                  <w:t>-</w:t>
                </w:r>
                <w:r>
                  <w:rPr>
                    <w:sz w:val="32"/>
                    <w:szCs w:val="32"/>
                  </w:rPr>
                  <w:fldChar w:fldCharType="begin"/>
                </w:r>
                <w:r>
                  <w:rPr>
                    <w:sz w:val="32"/>
                    <w:szCs w:val="32"/>
                  </w:rPr>
                  <w:instrText xml:space="preserve"> PAGE  \* MERGEFORMAT </w:instrText>
                </w:r>
                <w:r>
                  <w:rPr>
                    <w:sz w:val="32"/>
                    <w:szCs w:val="32"/>
                  </w:rPr>
                  <w:fldChar w:fldCharType="separate"/>
                </w:r>
                <w:r>
                  <w:rPr>
                    <w:sz w:val="32"/>
                    <w:szCs w:val="32"/>
                  </w:rPr>
                  <w:t>1</w:t>
                </w:r>
                <w:r>
                  <w:rPr>
                    <w:sz w:val="32"/>
                    <w:szCs w:val="32"/>
                  </w:rPr>
                  <w:fldChar w:fldCharType="end"/>
                </w:r>
                <w:r>
                  <w:rPr>
                    <w:rFonts w:hint="eastAsia"/>
                    <w:sz w:val="32"/>
                    <w:szCs w:val="32"/>
                    <w:lang w:val="en-US" w:eastAsia="zh-CN"/>
                  </w:rPr>
                  <w:t>-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TrueTypeFonts/>
  <w:saveSubset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520277"/>
    <w:rsid w:val="00047E28"/>
    <w:rsid w:val="000514CE"/>
    <w:rsid w:val="00052E76"/>
    <w:rsid w:val="000710D4"/>
    <w:rsid w:val="000737C2"/>
    <w:rsid w:val="000B600B"/>
    <w:rsid w:val="000D0A4F"/>
    <w:rsid w:val="00104346"/>
    <w:rsid w:val="00123136"/>
    <w:rsid w:val="001631E4"/>
    <w:rsid w:val="001A2DAC"/>
    <w:rsid w:val="001B70BF"/>
    <w:rsid w:val="001F38FF"/>
    <w:rsid w:val="001F59E3"/>
    <w:rsid w:val="001F78B1"/>
    <w:rsid w:val="00204EDA"/>
    <w:rsid w:val="00231E11"/>
    <w:rsid w:val="002529D1"/>
    <w:rsid w:val="0026423A"/>
    <w:rsid w:val="0028141C"/>
    <w:rsid w:val="002D0671"/>
    <w:rsid w:val="00305590"/>
    <w:rsid w:val="003162FE"/>
    <w:rsid w:val="003848E3"/>
    <w:rsid w:val="003958F4"/>
    <w:rsid w:val="003B1976"/>
    <w:rsid w:val="003B65C6"/>
    <w:rsid w:val="00415B41"/>
    <w:rsid w:val="00425597"/>
    <w:rsid w:val="0043630B"/>
    <w:rsid w:val="004447D2"/>
    <w:rsid w:val="004845AE"/>
    <w:rsid w:val="004B0808"/>
    <w:rsid w:val="004B42F6"/>
    <w:rsid w:val="004E43A3"/>
    <w:rsid w:val="005058D1"/>
    <w:rsid w:val="00520277"/>
    <w:rsid w:val="0052384A"/>
    <w:rsid w:val="005A3661"/>
    <w:rsid w:val="005F24CE"/>
    <w:rsid w:val="0060003E"/>
    <w:rsid w:val="006208C9"/>
    <w:rsid w:val="00621B61"/>
    <w:rsid w:val="00632E8F"/>
    <w:rsid w:val="00644E96"/>
    <w:rsid w:val="0067716D"/>
    <w:rsid w:val="006950BB"/>
    <w:rsid w:val="006A282A"/>
    <w:rsid w:val="006B7797"/>
    <w:rsid w:val="006C7D9A"/>
    <w:rsid w:val="00702564"/>
    <w:rsid w:val="00702CD9"/>
    <w:rsid w:val="00711131"/>
    <w:rsid w:val="007129D3"/>
    <w:rsid w:val="007251BA"/>
    <w:rsid w:val="007254FB"/>
    <w:rsid w:val="00750A54"/>
    <w:rsid w:val="00811641"/>
    <w:rsid w:val="0085235B"/>
    <w:rsid w:val="008958AE"/>
    <w:rsid w:val="00911F20"/>
    <w:rsid w:val="00916A8C"/>
    <w:rsid w:val="0092028E"/>
    <w:rsid w:val="0092263F"/>
    <w:rsid w:val="00973DDE"/>
    <w:rsid w:val="009B66AA"/>
    <w:rsid w:val="009C5518"/>
    <w:rsid w:val="009D3A2D"/>
    <w:rsid w:val="009D77B9"/>
    <w:rsid w:val="009F7372"/>
    <w:rsid w:val="00A0036E"/>
    <w:rsid w:val="00A37315"/>
    <w:rsid w:val="00A50866"/>
    <w:rsid w:val="00A52438"/>
    <w:rsid w:val="00A65A06"/>
    <w:rsid w:val="00A74EF6"/>
    <w:rsid w:val="00A83AA5"/>
    <w:rsid w:val="00A912D0"/>
    <w:rsid w:val="00AB3590"/>
    <w:rsid w:val="00B17917"/>
    <w:rsid w:val="00B55238"/>
    <w:rsid w:val="00BB2CA3"/>
    <w:rsid w:val="00BD40D6"/>
    <w:rsid w:val="00BE2002"/>
    <w:rsid w:val="00BF4441"/>
    <w:rsid w:val="00C046A2"/>
    <w:rsid w:val="00C56521"/>
    <w:rsid w:val="00C6142E"/>
    <w:rsid w:val="00C71CF6"/>
    <w:rsid w:val="00C72980"/>
    <w:rsid w:val="00C73FDB"/>
    <w:rsid w:val="00C8452E"/>
    <w:rsid w:val="00CB6086"/>
    <w:rsid w:val="00CD2883"/>
    <w:rsid w:val="00CE58FB"/>
    <w:rsid w:val="00D07D8B"/>
    <w:rsid w:val="00D324E9"/>
    <w:rsid w:val="00D4290C"/>
    <w:rsid w:val="00D516DE"/>
    <w:rsid w:val="00D5644D"/>
    <w:rsid w:val="00D565EC"/>
    <w:rsid w:val="00DD2C94"/>
    <w:rsid w:val="00DF3A7C"/>
    <w:rsid w:val="00DF3D0A"/>
    <w:rsid w:val="00E32E05"/>
    <w:rsid w:val="00E32F4D"/>
    <w:rsid w:val="00E356D0"/>
    <w:rsid w:val="00E5375E"/>
    <w:rsid w:val="00E57BA0"/>
    <w:rsid w:val="00E63898"/>
    <w:rsid w:val="00E64A4D"/>
    <w:rsid w:val="00E852E8"/>
    <w:rsid w:val="00E97416"/>
    <w:rsid w:val="00EF041E"/>
    <w:rsid w:val="00EF12ED"/>
    <w:rsid w:val="00F359C5"/>
    <w:rsid w:val="00F41C68"/>
    <w:rsid w:val="00F4407C"/>
    <w:rsid w:val="00F511BC"/>
    <w:rsid w:val="00FA38FF"/>
    <w:rsid w:val="00FB3EB0"/>
    <w:rsid w:val="00FD3F1B"/>
    <w:rsid w:val="011B7573"/>
    <w:rsid w:val="01967485"/>
    <w:rsid w:val="028C6335"/>
    <w:rsid w:val="034B0AC8"/>
    <w:rsid w:val="0365680D"/>
    <w:rsid w:val="04137DFA"/>
    <w:rsid w:val="04AB3B8E"/>
    <w:rsid w:val="053C6EDC"/>
    <w:rsid w:val="079375DF"/>
    <w:rsid w:val="08887B12"/>
    <w:rsid w:val="09CD27F9"/>
    <w:rsid w:val="09F04599"/>
    <w:rsid w:val="0A00672A"/>
    <w:rsid w:val="0A4C5E14"/>
    <w:rsid w:val="0AA74DF8"/>
    <w:rsid w:val="0AE34A90"/>
    <w:rsid w:val="0B50723E"/>
    <w:rsid w:val="0BE63975"/>
    <w:rsid w:val="0CB67574"/>
    <w:rsid w:val="0D3A1F53"/>
    <w:rsid w:val="0DDA7292"/>
    <w:rsid w:val="0E50350E"/>
    <w:rsid w:val="0F941929"/>
    <w:rsid w:val="11B15EAD"/>
    <w:rsid w:val="11B5645F"/>
    <w:rsid w:val="120A7208"/>
    <w:rsid w:val="12B04A66"/>
    <w:rsid w:val="13A21A76"/>
    <w:rsid w:val="13BF524B"/>
    <w:rsid w:val="145440A4"/>
    <w:rsid w:val="15012945"/>
    <w:rsid w:val="152D77B0"/>
    <w:rsid w:val="170064C3"/>
    <w:rsid w:val="184F7B55"/>
    <w:rsid w:val="1B793D17"/>
    <w:rsid w:val="1BA52340"/>
    <w:rsid w:val="1C3015A2"/>
    <w:rsid w:val="1C4148B6"/>
    <w:rsid w:val="1C8F0499"/>
    <w:rsid w:val="1D1C1676"/>
    <w:rsid w:val="1D303373"/>
    <w:rsid w:val="1D927B8A"/>
    <w:rsid w:val="1E143C99"/>
    <w:rsid w:val="1E620680"/>
    <w:rsid w:val="1F132604"/>
    <w:rsid w:val="1FCB2EDF"/>
    <w:rsid w:val="20006165"/>
    <w:rsid w:val="20606D63"/>
    <w:rsid w:val="20FA7DEF"/>
    <w:rsid w:val="21396E8B"/>
    <w:rsid w:val="216113F1"/>
    <w:rsid w:val="21775F57"/>
    <w:rsid w:val="22837AA1"/>
    <w:rsid w:val="2297354C"/>
    <w:rsid w:val="25475C02"/>
    <w:rsid w:val="2AC403A8"/>
    <w:rsid w:val="2AEA4B61"/>
    <w:rsid w:val="2C265B1D"/>
    <w:rsid w:val="2E5844D8"/>
    <w:rsid w:val="2EC37092"/>
    <w:rsid w:val="2EDF0755"/>
    <w:rsid w:val="2F1D2922"/>
    <w:rsid w:val="2F912348"/>
    <w:rsid w:val="30AC4667"/>
    <w:rsid w:val="30C82848"/>
    <w:rsid w:val="31F664E1"/>
    <w:rsid w:val="32C77613"/>
    <w:rsid w:val="338743B5"/>
    <w:rsid w:val="33FA0520"/>
    <w:rsid w:val="36431DBE"/>
    <w:rsid w:val="366B7CC6"/>
    <w:rsid w:val="36D93CDC"/>
    <w:rsid w:val="37FD2365"/>
    <w:rsid w:val="38F461CB"/>
    <w:rsid w:val="3AA3249D"/>
    <w:rsid w:val="3AF13CEA"/>
    <w:rsid w:val="3BF47763"/>
    <w:rsid w:val="3C900121"/>
    <w:rsid w:val="3D6A38DF"/>
    <w:rsid w:val="3E3F6B1A"/>
    <w:rsid w:val="40A240F4"/>
    <w:rsid w:val="40A321F7"/>
    <w:rsid w:val="40A646E8"/>
    <w:rsid w:val="413C5593"/>
    <w:rsid w:val="41F30347"/>
    <w:rsid w:val="42BF022A"/>
    <w:rsid w:val="42F77616"/>
    <w:rsid w:val="43071554"/>
    <w:rsid w:val="4392220D"/>
    <w:rsid w:val="447D6842"/>
    <w:rsid w:val="45161D80"/>
    <w:rsid w:val="454A0192"/>
    <w:rsid w:val="456C614A"/>
    <w:rsid w:val="467A106E"/>
    <w:rsid w:val="47AD2D46"/>
    <w:rsid w:val="47B153B2"/>
    <w:rsid w:val="48D233D0"/>
    <w:rsid w:val="494D6F15"/>
    <w:rsid w:val="49B4369E"/>
    <w:rsid w:val="49BC54C3"/>
    <w:rsid w:val="4AD0310A"/>
    <w:rsid w:val="4B554793"/>
    <w:rsid w:val="4C49748C"/>
    <w:rsid w:val="4C6F0F12"/>
    <w:rsid w:val="4C995F8F"/>
    <w:rsid w:val="4D0A6293"/>
    <w:rsid w:val="4E744D1E"/>
    <w:rsid w:val="4F5C7ABD"/>
    <w:rsid w:val="4F986EB3"/>
    <w:rsid w:val="4FCE41A2"/>
    <w:rsid w:val="4FE90FDC"/>
    <w:rsid w:val="51646B6C"/>
    <w:rsid w:val="547E2C94"/>
    <w:rsid w:val="54A536B9"/>
    <w:rsid w:val="54B020C8"/>
    <w:rsid w:val="55906A89"/>
    <w:rsid w:val="55C925D4"/>
    <w:rsid w:val="561D560F"/>
    <w:rsid w:val="57D578C5"/>
    <w:rsid w:val="599A7F75"/>
    <w:rsid w:val="59AF294E"/>
    <w:rsid w:val="5A2C3F9F"/>
    <w:rsid w:val="5BB41FC3"/>
    <w:rsid w:val="5F86710C"/>
    <w:rsid w:val="60832F50"/>
    <w:rsid w:val="61BD5B59"/>
    <w:rsid w:val="623D3FBA"/>
    <w:rsid w:val="634E0521"/>
    <w:rsid w:val="64A137DB"/>
    <w:rsid w:val="64C37BF6"/>
    <w:rsid w:val="64D960AF"/>
    <w:rsid w:val="64E831B8"/>
    <w:rsid w:val="655978BF"/>
    <w:rsid w:val="66770DF2"/>
    <w:rsid w:val="66800A0D"/>
    <w:rsid w:val="66D02156"/>
    <w:rsid w:val="676E209B"/>
    <w:rsid w:val="68AA415B"/>
    <w:rsid w:val="68BD5A3A"/>
    <w:rsid w:val="692A3D9F"/>
    <w:rsid w:val="6931512E"/>
    <w:rsid w:val="69D73F0D"/>
    <w:rsid w:val="6A6B0B13"/>
    <w:rsid w:val="6CE54BAD"/>
    <w:rsid w:val="6D757E97"/>
    <w:rsid w:val="6DEC1F6B"/>
    <w:rsid w:val="6E364F94"/>
    <w:rsid w:val="6ED85A05"/>
    <w:rsid w:val="6F370FC4"/>
    <w:rsid w:val="6F5D586A"/>
    <w:rsid w:val="6FCB479A"/>
    <w:rsid w:val="70975F44"/>
    <w:rsid w:val="70A86571"/>
    <w:rsid w:val="70B0102E"/>
    <w:rsid w:val="71412885"/>
    <w:rsid w:val="71B84408"/>
    <w:rsid w:val="72C43882"/>
    <w:rsid w:val="73A06D6A"/>
    <w:rsid w:val="73F42358"/>
    <w:rsid w:val="74612BD8"/>
    <w:rsid w:val="746E1286"/>
    <w:rsid w:val="76422605"/>
    <w:rsid w:val="76481935"/>
    <w:rsid w:val="765B0F30"/>
    <w:rsid w:val="766C1E9B"/>
    <w:rsid w:val="76A81B4D"/>
    <w:rsid w:val="770976EA"/>
    <w:rsid w:val="78222FBB"/>
    <w:rsid w:val="789F48B4"/>
    <w:rsid w:val="79381F59"/>
    <w:rsid w:val="794A7728"/>
    <w:rsid w:val="79A74F98"/>
    <w:rsid w:val="79BE1882"/>
    <w:rsid w:val="7B9F061D"/>
    <w:rsid w:val="7BE91898"/>
    <w:rsid w:val="7E1922B6"/>
    <w:rsid w:val="7F645E0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  <o:rules v:ext="edit">
        <o:r id="V:Rule1" type="connector" idref="#直接连接符 1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next w:val="5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5">
    <w:name w:val="索引 51"/>
    <w:basedOn w:val="1"/>
    <w:next w:val="1"/>
    <w:qFormat/>
    <w:uiPriority w:val="0"/>
    <w:pPr>
      <w:ind w:left="1680"/>
    </w:pPr>
  </w:style>
  <w:style w:type="paragraph" w:styleId="6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9">
    <w:name w:val="Hyperlink"/>
    <w:basedOn w:val="8"/>
    <w:semiHidden/>
    <w:unhideWhenUsed/>
    <w:qFormat/>
    <w:uiPriority w:val="99"/>
    <w:rPr>
      <w:color w:val="0000FF"/>
      <w:u w:val="single"/>
    </w:rPr>
  </w:style>
  <w:style w:type="character" w:customStyle="1" w:styleId="10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4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8"/>
    <w:link w:val="3"/>
    <w:semiHidden/>
    <w:qFormat/>
    <w:uiPriority w:val="99"/>
    <w:rPr>
      <w:rFonts w:ascii="Calibri" w:hAnsi="Calibri" w:eastAsia="宋体" w:cs="Times New Roman"/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 textRotate="1"/>
    <customShpInfo spid="_x0000_s2050" textRotate="1"/>
    <customShpInfo spid="_x0000_s205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8</Pages>
  <Words>3202</Words>
  <Characters>3274</Characters>
  <Lines>1</Lines>
  <Paragraphs>2</Paragraphs>
  <TotalTime>0</TotalTime>
  <ScaleCrop>false</ScaleCrop>
  <LinksUpToDate>false</LinksUpToDate>
  <CharactersWithSpaces>3336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2019-02-24T05:38:00Z</dcterms:created>
  <dc:creator>微软用户</dc:creator>
  <cp:lastModifiedBy>苏szy</cp:lastModifiedBy>
  <cp:lastPrinted>2022-03-24T03:39:00Z</cp:lastPrinted>
  <dcterms:modified xsi:type="dcterms:W3CDTF">2022-04-24T07:10:30Z</dcterms:modified>
  <cp:revision>108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222C14C726AA4787B3A0A019922CEA21</vt:lpwstr>
  </property>
</Properties>
</file>