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kern w:val="0"/>
          <w:sz w:val="24"/>
        </w:rPr>
        <w:pict>
          <v:shape id="_x0000_s1026" o:spid="_x0000_s1026" o:spt="136" type="#_x0000_t136" style="position:absolute;left:0pt;margin-left:87.3pt;margin-top:104.55pt;height:67.35pt;width:443.45pt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石柱土家族自治县金竹乡人民政府文件" style="font-family:方正小标宋_GBK;font-size:36pt;font-weight:bold;v-text-align:center;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金竹府发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napToGrid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〕</w:t>
      </w:r>
      <w:r>
        <w:rPr>
          <w:rFonts w:hint="eastAsia" w:cs="Times New Roman"/>
          <w:snapToGrid w:val="0"/>
          <w:sz w:val="32"/>
          <w:szCs w:val="32"/>
          <w:lang w:val="en-US" w:eastAsia="zh-CN"/>
        </w:rPr>
        <w:t>283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51435</wp:posOffset>
                </wp:positionV>
                <wp:extent cx="5667375" cy="9525"/>
                <wp:effectExtent l="0" t="19050" r="9525" b="2857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5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925" h="15">
                              <a:moveTo>
                                <a:pt x="0" y="0"/>
                              </a:moveTo>
                              <a:lnTo>
                                <a:pt x="8925" y="15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anchor="t" anchorCtr="false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.9pt;margin-top:4.05pt;height:0.75pt;width:446.25pt;z-index:251659264;mso-width-relative:page;mso-height-relative:page;" filled="f" stroked="t" coordsize="8925,15" o:gfxdata="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FgAAAGRycy9QSwECFAAUAAAACACHTuJAfQb/8dYA&#10;AAAGAQAADwAAAAAAAAABACAAAAA4AAAAZHJzL2Rvd25yZXYueG1sUEsBAhQAFAAAAAgAh07iQEI8&#10;0Z9EAgAAhQQAAA4AAAAAAAAAAQAgAAAAOwEAAGRycy9lMm9Eb2MueG1sUEsFBgAAAAAGAAYAWQEA&#10;APEFAAAAAA==&#10;" path="m0,0l8925,15e">
                <v:path textboxrect="0,0,8925,15"/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石柱土家族自治县</w:t>
      </w:r>
      <w:r>
        <w:rPr>
          <w:rFonts w:hint="eastAsia" w:eastAsia="方正小标宋_GBK" w:cs="Times New Roman"/>
          <w:b w:val="0"/>
          <w:bCs w:val="0"/>
          <w:color w:val="000000"/>
          <w:kern w:val="0"/>
          <w:sz w:val="44"/>
          <w:szCs w:val="44"/>
          <w:lang w:val="en-US" w:eastAsia="zh-CN"/>
        </w:rPr>
        <w:t>金竹乡人民政府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印发《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金竹乡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年春节前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取暖中毒防治专项攻坚行动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工作方案》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村民委员会、乡内设各科室：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《金竹乡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2024年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春节前</w:t>
      </w:r>
      <w:r>
        <w:rPr>
          <w:rFonts w:hint="default" w:ascii="Times New Roman" w:hAnsi="Times New Roman" w:eastAsia="方正仿宋_GBK" w:cs="方正仿宋_GBK"/>
          <w:sz w:val="32"/>
          <w:szCs w:val="32"/>
          <w:lang w:val="en-US" w:eastAsia="zh-CN"/>
        </w:rPr>
        <w:t>取暖中毒防治专项攻坚行动工作方案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》，经乡党委、政府同意，现印发给你们，请各单位结合实际抓好工作落实。</w:t>
      </w:r>
    </w:p>
    <w:p>
      <w:pPr>
        <w:keepNext w:val="0"/>
        <w:keepLines w:val="0"/>
        <w:pageBreakBefore w:val="0"/>
        <w:tabs>
          <w:tab w:val="left" w:pos="710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10"/>
        </w:tabs>
        <w:kinsoku/>
        <w:wordWrap/>
        <w:overflowPunct/>
        <w:topLinePunct w:val="0"/>
        <w:autoSpaceDE/>
        <w:autoSpaceDN/>
        <w:bidi w:val="0"/>
        <w:spacing w:line="594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71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1920" w:firstLineChars="6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石柱土家族自治县金竹乡人民政府</w:t>
      </w:r>
    </w:p>
    <w:p>
      <w:pPr>
        <w:keepNext w:val="0"/>
        <w:keepLines w:val="0"/>
        <w:pageBreakBefore w:val="0"/>
        <w:tabs>
          <w:tab w:val="left" w:pos="71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1280" w:firstLineChars="400"/>
        <w:jc w:val="center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年1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月2</w:t>
      </w:r>
      <w:r>
        <w:rPr>
          <w:rFonts w:hint="eastAsia" w:ascii="Times New Roman" w:hAnsi="Times New Roman" w:cs="方正仿宋_GBK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金竹乡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年春节前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取暖中毒防治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专项攻坚行动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为扎实做好冬季安全工作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，杜绝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取暖不慎引发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中毒窒息问题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提高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居民的安全防范意识，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结合我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乡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实际制定本方案。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一、指导思想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以习近平新时代中国特色社会主义思想为指导，坚持人民至上、生命至上，根据《石柱县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年春节前安全领域十大风险专项攻坚行动工作方案》要求，强化党政履职，深化专项整治，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全面压实属地监管责任，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切实做好2024年春节前取暖中毒防治工作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二、工作目标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结合冬季居民燃煤、用气、用炭取暖实际情况，防范一氧化碳中毒，突出农村高海拔地区、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机关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宿舍等重点场所，突出孤寡老人、残疾人、五保户、留守儿童等重点人群，加强冬季取暖安全常识和防救措施常态化宣传教育。结合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辖区实际，认真研判冬季取暖中毒风险，制定有针对性的安全风险管控措施，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开展安全隐患摸底排查工作，及时整改隐患，督促指导辖区居民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开展取暖中毒安全隐患自查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工作，严防一氧化碳中毒事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三、组织领导</w:t>
      </w:r>
    </w:p>
    <w:p>
      <w:pPr>
        <w:keepNext w:val="0"/>
        <w:keepLines w:val="0"/>
        <w:pageBreakBefore w:val="0"/>
        <w:widowControl w:val="0"/>
        <w:tabs>
          <w:tab w:val="left" w:pos="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乡成立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年春节前安全领域十大风险专项攻坚行动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领导小组，毛峰乡长任领导小组组长，谭锋副乡长任副组长，各村民委员会、乡内设各科室等有关单位负责人为成员组成，领导小组下设办公室在乡应急办，由应急办负责人</w:t>
      </w:r>
      <w:r>
        <w:rPr>
          <w:rFonts w:hint="eastAsia" w:ascii="方正仿宋_GBK" w:hAnsi="方正仿宋_GBK" w:cs="方正仿宋_GBK"/>
          <w:snapToGrid w:val="0"/>
          <w:sz w:val="32"/>
          <w:szCs w:val="32"/>
          <w:lang w:val="en-US" w:eastAsia="zh-CN"/>
        </w:rPr>
        <w:t>陈以刚</w:t>
      </w:r>
      <w:r>
        <w:rPr>
          <w:rFonts w:hint="eastAsia" w:ascii="方正仿宋_GBK" w:hAnsi="方正仿宋_GBK" w:eastAsia="方正仿宋_GBK" w:cs="方正仿宋_GBK"/>
          <w:snapToGrid w:val="0"/>
          <w:sz w:val="32"/>
          <w:szCs w:val="32"/>
          <w:lang w:val="en-US" w:eastAsia="zh-CN"/>
        </w:rPr>
        <w:t>同志具体负责此项工作的开展实施。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、重点任务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（一）开展风险研判，统筹部署推进。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对辖区内冬季取暖中毒的潜在风险进行评估，根据历史案例等相关数据，针对不同点位定人、定时开展风险隐患排查治理，建立取暖中毒风险防范机制，实时调整防范应对策略。及时发布预警提示，全力做好低温冷冻天气取暖中毒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（二）加强宣传引导，普及防范知识。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通过“线上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+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线下”相结合方式，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多渠道多形式向城乡居民特别是农村高寒地区群众进行科普宣教，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积极宣讲防范一氧化碳中毒、燃气泄漏、人走火灭等安全常识，以及遇到紧急事件的应急处置方法。一方面常态化在微信群内推送安全知识和典型案例分析等宣传信息，提醒群众早发现、早处理，及时消除事故隐患。另一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召开院坝会、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开设宣传栏、发放明白纸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、流动喇叭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等群众易见易知易懂的宣传方式，全方位、多角度、不间断地宣传防一氧化碳中毒安全常识、应急自救知识</w:t>
      </w:r>
      <w:r>
        <w:rPr>
          <w:rFonts w:hint="eastAsia" w:ascii="方正仿宋_GBK" w:hAnsi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（三）开展走访入户，深入排查整治。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发挥村、网格员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基层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力量的作用，深入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农户住宅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对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燃煤、用气、用炭等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安全情况进行全面排查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逐一排查存在的安全隐患，建立隐患台帐并对要求立即整改存在的隐患，确保隐患全面清零。同时提醒群众在使用煤炉、气炉的过程中，要注意通风，不要在周边堆放可燃物质，防止引发火灾或者燃烧不充分造成一氧化碳中毒。特别是针对空间狭小房屋进行全面检查摸排，坚持常态走访，确保不发生伤亡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强化应急准备，提高救援能力。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未雨绸缪，制定冬季取暖中毒事故应急预案，加强预案内容审核和衔接把关，强化卫生应急队伍备勤，储备急救物资，及时救治一氧化碳中毒患者。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（一）动员部署阶段（2023年11月22日前）。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在11月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日前组织开展本专项攻坚行动动员部署会议，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按照“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三个必须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”和“属地管理”原则，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开展动员部署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细化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责任、强化宣传、加强排查、消除隐患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（二）排查整治阶段（2023年11月23日至2024年1月22日）。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全面开展春节前取暖中毒防治专项攻坚行动，组织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人员深入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群众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、深入现场开展检查，全面排查整治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中毒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隐患。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建立隐患排查整治台帐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（三）总结提升阶段（2024年1月23日至2月10日）。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认真总结，充分发挥主动性和积极性，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查漏补缺，固化经验，完善应急预案，补齐弱势短板，形成可供复制的取暖中毒防范应对机制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  <w:lang w:val="en-US" w:eastAsia="zh-CN"/>
        </w:rPr>
        <w:t>六</w:t>
      </w:r>
      <w:r>
        <w:rPr>
          <w:rFonts w:hint="eastAsia" w:ascii="方正黑体_GBK" w:hAnsi="方正黑体_GBK" w:eastAsia="方正黑体_GBK" w:cs="方正黑体_GBK"/>
          <w:snapToGrid w:val="0"/>
          <w:sz w:val="32"/>
          <w:szCs w:val="32"/>
        </w:rPr>
        <w:t>、工作要求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cs="Times New Roman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相关科室及时启动专项攻坚行动，</w:t>
      </w:r>
      <w:r>
        <w:rPr>
          <w:rFonts w:hint="eastAsia" w:cs="Times New Roman"/>
          <w:sz w:val="32"/>
          <w:szCs w:val="32"/>
          <w:lang w:val="en-US" w:eastAsia="zh-CN"/>
        </w:rPr>
        <w:t>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主要领导</w:t>
      </w:r>
      <w:r>
        <w:rPr>
          <w:rFonts w:hint="eastAsia" w:cs="Times New Roman"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部署</w:t>
      </w:r>
      <w:r>
        <w:rPr>
          <w:rFonts w:hint="eastAsia" w:cs="Times New Roman"/>
          <w:sz w:val="32"/>
          <w:szCs w:val="32"/>
          <w:lang w:val="en-US" w:eastAsia="zh-CN"/>
        </w:rPr>
        <w:t>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分管领导要细化推进工作，相关科室要打表推进专项攻坚行动。要研究细化工作措施，结合实际，明晰重点内容、责任领导、责任人员和工作要求等，确保排查出的隐患及时整改，确保今冬明春期间不出现人员取暖中毒事故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hint="eastAsia" w:cs="Times New Roman"/>
          <w:sz w:val="32"/>
          <w:szCs w:val="32"/>
          <w:lang w:val="en-US" w:eastAsia="zh-CN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60" w:firstLineChars="200"/>
        <w:textAlignment w:val="auto"/>
        <w:rPr>
          <w:rFonts w:hint="eastAsia" w:eastAsia="方正仿宋_GBK"/>
          <w:snapToGrid w:val="0"/>
          <w:kern w:val="0"/>
          <w:sz w:val="33"/>
          <w:szCs w:val="33"/>
          <w:lang w:eastAsia="zh-CN"/>
        </w:rPr>
      </w:pPr>
      <w:r>
        <w:rPr>
          <w:rFonts w:hint="eastAsia"/>
          <w:snapToGrid w:val="0"/>
          <w:kern w:val="0"/>
          <w:sz w:val="33"/>
          <w:szCs w:val="33"/>
          <w:lang w:eastAsia="zh-CN"/>
        </w:rPr>
        <w:t>（</w:t>
      </w:r>
      <w:r>
        <w:rPr>
          <w:rFonts w:hint="eastAsia"/>
          <w:snapToGrid w:val="0"/>
          <w:kern w:val="0"/>
          <w:sz w:val="33"/>
          <w:szCs w:val="33"/>
          <w:lang w:val="en-US" w:eastAsia="zh-CN"/>
        </w:rPr>
        <w:t>此页无正文</w:t>
      </w:r>
      <w:r>
        <w:rPr>
          <w:rFonts w:hint="eastAsia"/>
          <w:snapToGrid w:val="0"/>
          <w:kern w:val="0"/>
          <w:sz w:val="33"/>
          <w:szCs w:val="33"/>
          <w:lang w:eastAsia="zh-CN"/>
        </w:rPr>
        <w:t>）</w:t>
      </w: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pStyle w:val="5"/>
        <w:rPr>
          <w:rFonts w:eastAsia="方正仿宋_GBK"/>
          <w:snapToGrid w:val="0"/>
          <w:kern w:val="0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eastAsia="方正仿宋_GBK"/>
          <w:sz w:val="28"/>
          <w:szCs w:val="28"/>
          <w:lang w:val="en-US" w:eastAsia="zh-CN"/>
        </w:rPr>
      </w:pPr>
      <w:r>
        <w:rPr>
          <w:rFonts w:eastAsia="方正仿宋_GBK"/>
          <w:sz w:val="28"/>
          <w:szCs w:val="28"/>
        </w:rPr>
        <w:t>石柱土家族自治县</w:t>
      </w:r>
      <w:r>
        <w:rPr>
          <w:rFonts w:hint="eastAsia" w:eastAsia="方正仿宋_GBK"/>
          <w:sz w:val="28"/>
          <w:szCs w:val="28"/>
          <w:lang w:eastAsia="zh-CN"/>
        </w:rPr>
        <w:t>金竹</w:t>
      </w:r>
      <w:r>
        <w:rPr>
          <w:rFonts w:eastAsia="方正仿宋_GBK"/>
          <w:sz w:val="28"/>
          <w:szCs w:val="28"/>
        </w:rPr>
        <w:t xml:space="preserve">乡党政办 </w:t>
      </w:r>
      <w:bookmarkStart w:id="0" w:name="_GoBack"/>
      <w:bookmarkEnd w:id="0"/>
      <w:r>
        <w:rPr>
          <w:rFonts w:hint="eastAsia" w:eastAsia="方正仿宋_GBK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sz w:val="28"/>
          <w:szCs w:val="28"/>
        </w:rPr>
        <w:t xml:space="preserve">      202</w:t>
      </w:r>
      <w:r>
        <w:rPr>
          <w:rFonts w:hint="eastAsia" w:eastAsia="方正仿宋_GBK"/>
          <w:sz w:val="28"/>
          <w:szCs w:val="28"/>
          <w:lang w:val="en-US" w:eastAsia="zh-CN"/>
        </w:rPr>
        <w:t>3</w:t>
      </w:r>
      <w:r>
        <w:rPr>
          <w:rFonts w:eastAsia="方正仿宋_GBK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eastAsia="方正仿宋_GBK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21</w:t>
      </w:r>
      <w:r>
        <w:rPr>
          <w:rFonts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中秀体简"/>
    <w:panose1 w:val="00000000000000000000"/>
    <w:charset w:val="00"/>
    <w:family w:val="swiss"/>
    <w:pitch w:val="default"/>
    <w:sig w:usb0="00000000" w:usb1="00000000" w:usb2="00000000" w:usb3="00000000" w:csb0="000001F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FangSong_GB2312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MzgzMTJkOGViNTAyNmZkYjMyNzc3YmI4OTk0MTAifQ=="/>
  </w:docVars>
  <w:rsids>
    <w:rsidRoot w:val="31930D35"/>
    <w:rsid w:val="31930D35"/>
    <w:rsid w:val="3F546FB0"/>
    <w:rsid w:val="434E721B"/>
    <w:rsid w:val="47C0058D"/>
    <w:rsid w:val="7AFE5AA6"/>
    <w:rsid w:val="B9BA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FangSong_GB2312" w:hAnsi="Calibri" w:eastAsia="Times New Roman" w:cs="FangSong_GB2312"/>
      <w:color w:val="000000"/>
      <w:kern w:val="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eastAsia="宋体" w:cs="Times New Roman"/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customStyle="1" w:styleId="10">
    <w:name w:val="Message Header1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</w:rPr>
  </w:style>
  <w:style w:type="paragraph" w:customStyle="1" w:styleId="11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2023-11-21T16:03:00Z</dcterms:created>
  <dc:creator>陈以刚15023681632</dc:creator>
  <cp:lastModifiedBy>user</cp:lastModifiedBy>
  <cp:lastPrinted>2023-11-21T18:13:00Z</cp:lastPrinted>
  <dcterms:modified xsi:type="dcterms:W3CDTF">2024-01-19T11:47:16Z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F1BEB4FD688444699642AA82F2686862_13</vt:lpwstr>
  </property>
</Properties>
</file>