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fill="FFFFFF"/>
        <w:spacing w:before="0" w:beforeAutospacing="0" w:after="0" w:afterAutospacing="0" w:line="600" w:lineRule="exact"/>
        <w:ind w:left="0" w:right="0"/>
        <w:jc w:val="center"/>
        <w:rPr>
          <w:rFonts w:hint="eastAsia" w:ascii="方正小标宋_GBK" w:hAnsi="方正小标宋_GBK" w:eastAsia="方正小标宋_GBK" w:cs="方正小标宋_GBK"/>
          <w:sz w:val="44"/>
          <w:szCs w:val="44"/>
          <w:shd w:val="clear" w:fill="FFFFFF"/>
          <w:lang w:val="en-US"/>
        </w:rPr>
      </w:pPr>
      <w:r>
        <w:rPr>
          <w:rFonts w:hint="eastAsia" w:ascii="方正小标宋_GBK" w:hAnsi="方正小标宋_GBK" w:eastAsia="方正小标宋_GBK" w:cs="方正小标宋_GBK"/>
          <w:color w:val="auto"/>
          <w:sz w:val="44"/>
          <w:szCs w:val="44"/>
          <w:shd w:val="clear" w:fill="FFFFFF"/>
          <w:lang w:eastAsia="zh-CN"/>
        </w:rPr>
        <w:t>重庆市石柱土家族自治县统计局</w:t>
      </w:r>
    </w:p>
    <w:p>
      <w:pPr>
        <w:pStyle w:val="2"/>
        <w:shd w:val="clear" w:fill="FFFFFF"/>
        <w:spacing w:before="0" w:beforeAutospacing="0" w:after="0" w:afterAutospacing="0" w:line="600" w:lineRule="exact"/>
        <w:ind w:left="0" w:right="0"/>
        <w:jc w:val="center"/>
        <w:rPr>
          <w:rFonts w:hint="eastAsia" w:ascii="方正小标宋_GBK" w:hAnsi="方正小标宋_GBK" w:eastAsia="方正小标宋_GBK" w:cs="方正小标宋_GBK"/>
          <w:sz w:val="44"/>
          <w:szCs w:val="44"/>
          <w:shd w:val="clear" w:fill="FFFFFF"/>
          <w:lang w:val="en-US"/>
        </w:rPr>
      </w:pPr>
      <w:r>
        <w:rPr>
          <w:rFonts w:hint="eastAsia" w:ascii="方正小标宋_GBK" w:hAnsi="方正小标宋_GBK" w:eastAsia="方正小标宋_GBK" w:cs="方正小标宋_GBK"/>
          <w:color w:val="auto"/>
          <w:sz w:val="44"/>
          <w:szCs w:val="44"/>
          <w:shd w:val="clear" w:fill="FFFFFF"/>
          <w:lang w:val="en-US"/>
        </w:rPr>
        <w:t>2021</w:t>
      </w:r>
      <w:r>
        <w:rPr>
          <w:rFonts w:hint="eastAsia" w:ascii="方正小标宋_GBK" w:hAnsi="方正小标宋_GBK" w:eastAsia="方正小标宋_GBK" w:cs="方正小标宋_GBK"/>
          <w:color w:val="auto"/>
          <w:sz w:val="44"/>
          <w:szCs w:val="44"/>
          <w:shd w:val="clear" w:fill="FFFFFF"/>
          <w:lang w:eastAsia="zh-CN"/>
        </w:rPr>
        <w:t>年度部门决算情况说明</w:t>
      </w:r>
    </w:p>
    <w:p>
      <w:pPr>
        <w:pStyle w:val="2"/>
        <w:shd w:val="clear" w:fill="FFFFFF"/>
        <w:spacing w:before="0" w:beforeAutospacing="0" w:after="0" w:afterAutospacing="0" w:line="600" w:lineRule="exact"/>
        <w:ind w:left="0" w:right="0"/>
      </w:pPr>
      <w:r>
        <w:rPr>
          <w:color w:val="auto"/>
          <w:shd w:val="clear" w:fill="FFFFFF"/>
          <w:lang w:val="en-US"/>
        </w:rPr>
        <w:t> </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黑体_GBK" w:hAnsi="方正黑体_GBK" w:eastAsia="方正黑体_GBK" w:cs="方正黑体_GBK"/>
          <w:b/>
          <w:bCs w:val="0"/>
          <w:sz w:val="32"/>
          <w:szCs w:val="32"/>
          <w:shd w:val="clear" w:fill="FFFFFF"/>
          <w:lang w:val="en-US"/>
        </w:rPr>
      </w:pPr>
      <w:bookmarkStart w:id="0" w:name="_GoBack"/>
      <w:r>
        <w:rPr>
          <w:rStyle w:val="5"/>
          <w:rFonts w:hint="eastAsia" w:ascii="方正黑体_GBK" w:hAnsi="宋体" w:eastAsia="方正黑体_GBK" w:cs="宋体"/>
          <w:b w:val="0"/>
          <w:bCs/>
          <w:color w:val="auto"/>
          <w:sz w:val="32"/>
          <w:szCs w:val="32"/>
          <w:shd w:val="clear" w:fill="FFFFFF"/>
          <w:lang w:eastAsia="zh-CN"/>
        </w:rPr>
        <w:t>一、部门基本情况</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黑体_GBK" w:hAnsi="方正黑体_GBK" w:eastAsia="方正黑体_GBK" w:cs="方正黑体_GBK"/>
          <w:b/>
          <w:bCs w:val="0"/>
          <w:sz w:val="32"/>
          <w:szCs w:val="32"/>
          <w:shd w:val="clear" w:fill="FFFFFF"/>
          <w:lang w:val="en-US"/>
        </w:rPr>
      </w:pPr>
      <w:r>
        <w:rPr>
          <w:rStyle w:val="5"/>
          <w:rFonts w:hint="eastAsia" w:ascii="方正楷体_GBK" w:hAnsi="宋体" w:eastAsia="方正楷体_GBK" w:cs="宋体"/>
          <w:color w:val="auto"/>
          <w:sz w:val="32"/>
          <w:szCs w:val="32"/>
          <w:shd w:val="clear" w:fill="FFFFFF"/>
          <w:lang w:eastAsia="zh-CN"/>
        </w:rPr>
        <w:t>（一）职能职责</w:t>
      </w:r>
    </w:p>
    <w:p>
      <w:pPr>
        <w:pStyle w:val="6"/>
        <w:tabs>
          <w:tab w:val="center" w:pos="4153"/>
          <w:tab w:val="left" w:pos="7275"/>
        </w:tabs>
        <w:adjustRightInd w:val="0"/>
        <w:snapToGrid w:val="0"/>
        <w:spacing w:line="600" w:lineRule="exact"/>
        <w:ind w:left="0" w:firstLine="542"/>
        <w:rPr>
          <w:rFonts w:hint="eastAsia" w:ascii="方正仿宋_GBK" w:hAnsi="仿宋_GB2312" w:eastAsia="方正仿宋_GBK" w:cs="仿宋_GB2312"/>
          <w:sz w:val="32"/>
          <w:szCs w:val="22"/>
          <w:lang w:val="en-US"/>
        </w:rPr>
      </w:pPr>
      <w:r>
        <w:rPr>
          <w:rStyle w:val="5"/>
          <w:rFonts w:hint="default" w:ascii="Calibri" w:hAnsi="Calibri" w:cs="Times New Roman"/>
          <w:sz w:val="27"/>
          <w:szCs w:val="27"/>
          <w:lang w:val="en-US"/>
        </w:rPr>
        <w:t> </w:t>
      </w:r>
      <w:r>
        <w:rPr>
          <w:rFonts w:hint="eastAsia" w:ascii="方正仿宋_GBK" w:hAnsi="仿宋_GB2312" w:eastAsia="方正仿宋_GBK" w:cs="仿宋_GB2312"/>
          <w:b/>
          <w:bCs w:val="0"/>
          <w:sz w:val="32"/>
          <w:szCs w:val="22"/>
          <w:lang w:val="en-US"/>
        </w:rPr>
        <w:t>1</w:t>
      </w:r>
      <w:r>
        <w:rPr>
          <w:rFonts w:hint="eastAsia" w:ascii="方正仿宋_GBK" w:hAnsi="仿宋_GB2312" w:eastAsia="方正仿宋_GBK" w:cs="仿宋_GB2312"/>
          <w:b/>
          <w:bCs w:val="0"/>
          <w:sz w:val="32"/>
          <w:szCs w:val="22"/>
          <w:lang w:eastAsia="zh-CN"/>
        </w:rPr>
        <w:t>、组织实施国民经济核算工作。</w:t>
      </w:r>
      <w:r>
        <w:rPr>
          <w:rFonts w:hint="eastAsia" w:ascii="方正仿宋_GBK" w:hAnsi="仿宋_GB2312" w:eastAsia="方正仿宋_GBK" w:cs="仿宋_GB2312"/>
          <w:sz w:val="32"/>
          <w:szCs w:val="22"/>
          <w:lang w:eastAsia="zh-CN"/>
        </w:rPr>
        <w:t>组织实施全县有关批发和零售业、住宿和餐饮业、商品市场运行情况、交通运输、租赁和商务服务业、水利和公共设施管理业、居民服务业和其他服务业、公共管理和社会组织等服务业、社会发展、科技、环境等统计调查，并对相关数据进行审核、评估；承担建设管理全县经济和社会发展数据库工作和搜集、整理、编辑、出版全县国民经济和社会发展数据资料工作；负责对外提供全县基本统计资料，发布全县国民经济和社会发展情况的统计信息，提供统计信息咨询服务；组织实施全县经济和社会发展监测和统计预警分析，研究全县经济社会重大问题，为政府提供决策服务；会同有关部门组织实施妇女儿童发展纲要（规划）执行情况统计监测及三峡库区（石柱段）社会、经济、环境监测。</w:t>
      </w:r>
    </w:p>
    <w:p>
      <w:pPr>
        <w:pStyle w:val="6"/>
        <w:tabs>
          <w:tab w:val="center" w:pos="4153"/>
          <w:tab w:val="left" w:pos="7275"/>
        </w:tabs>
        <w:adjustRightInd w:val="0"/>
        <w:snapToGrid w:val="0"/>
        <w:spacing w:line="600" w:lineRule="exact"/>
        <w:ind w:left="0" w:firstLine="643"/>
        <w:rPr>
          <w:rFonts w:hint="eastAsia" w:ascii="方正仿宋_GBK" w:hAnsi="仿宋_GB2312" w:eastAsia="方正仿宋_GBK" w:cs="仿宋_GB2312"/>
          <w:sz w:val="32"/>
          <w:szCs w:val="22"/>
          <w:lang w:val="en-US"/>
        </w:rPr>
      </w:pPr>
      <w:r>
        <w:rPr>
          <w:rFonts w:hint="eastAsia" w:ascii="方正仿宋_GBK" w:hAnsi="仿宋_GB2312" w:eastAsia="方正仿宋_GBK" w:cs="仿宋_GB2312"/>
          <w:b/>
          <w:bCs w:val="0"/>
          <w:sz w:val="32"/>
          <w:szCs w:val="22"/>
          <w:lang w:val="en-US"/>
        </w:rPr>
        <w:t>2</w:t>
      </w:r>
      <w:r>
        <w:rPr>
          <w:rFonts w:hint="eastAsia" w:ascii="方正仿宋_GBK" w:hAnsi="仿宋_GB2312" w:eastAsia="方正仿宋_GBK" w:cs="仿宋_GB2312"/>
          <w:b/>
          <w:bCs w:val="0"/>
          <w:sz w:val="32"/>
          <w:szCs w:val="22"/>
          <w:lang w:eastAsia="zh-CN"/>
        </w:rPr>
        <w:t>、组织实施全县工业统计调查。</w:t>
      </w:r>
      <w:r>
        <w:rPr>
          <w:rFonts w:hint="eastAsia" w:ascii="方正仿宋_GBK" w:hAnsi="仿宋_GB2312" w:eastAsia="方正仿宋_GBK" w:cs="仿宋_GB2312"/>
          <w:sz w:val="32"/>
          <w:szCs w:val="22"/>
          <w:lang w:eastAsia="zh-CN"/>
        </w:rPr>
        <w:t>管理协调部门（行业）的工业统计调查，搜集、整理和提供工业统计数据，并对数据质量进行审核、评估，进行统计分析和提供咨询服务；组织实施全县能源资源统计调查，会同有关部门开展能源资源统计工作，搜集、整理和提供能源资源统计数据，并对数据进行审核、评估，开展全县节能降耗统计监测和评价工作，进行统计分析和提供咨询服务；组织实施全县固定资产投资、房地产业、建筑业的统计调查，管理协调部门（行业）的本专业调查、搜集、整理和提供本专业统计数据，并对数据质量进行审核评估，进行统计分析和提供咨询服务。</w:t>
      </w:r>
    </w:p>
    <w:p>
      <w:pPr>
        <w:pStyle w:val="6"/>
        <w:tabs>
          <w:tab w:val="center" w:pos="4153"/>
          <w:tab w:val="left" w:pos="7275"/>
        </w:tabs>
        <w:adjustRightInd w:val="0"/>
        <w:snapToGrid w:val="0"/>
        <w:spacing w:line="600" w:lineRule="exact"/>
        <w:ind w:left="0" w:firstLine="643"/>
        <w:rPr>
          <w:rFonts w:hint="eastAsia" w:ascii="方正仿宋_GBK" w:hAnsi="仿宋_GB2312" w:eastAsia="方正仿宋_GBK" w:cs="仿宋_GB2312"/>
          <w:sz w:val="32"/>
          <w:szCs w:val="22"/>
          <w:lang w:val="en-US"/>
        </w:rPr>
      </w:pPr>
      <w:r>
        <w:rPr>
          <w:rFonts w:hint="eastAsia" w:ascii="方正仿宋_GBK" w:hAnsi="仿宋_GB2312" w:eastAsia="方正仿宋_GBK" w:cs="仿宋_GB2312"/>
          <w:b/>
          <w:bCs w:val="0"/>
          <w:sz w:val="32"/>
          <w:szCs w:val="22"/>
          <w:lang w:val="en-US"/>
        </w:rPr>
        <w:t>3</w:t>
      </w:r>
      <w:r>
        <w:rPr>
          <w:rFonts w:hint="eastAsia" w:ascii="方正仿宋_GBK" w:hAnsi="仿宋_GB2312" w:eastAsia="方正仿宋_GBK" w:cs="仿宋_GB2312"/>
          <w:b/>
          <w:bCs w:val="0"/>
          <w:sz w:val="32"/>
          <w:szCs w:val="22"/>
          <w:lang w:eastAsia="zh-CN"/>
        </w:rPr>
        <w:t>、组织实施全县“三农”工作统计调查。</w:t>
      </w:r>
      <w:r>
        <w:rPr>
          <w:rFonts w:hint="eastAsia" w:ascii="方正仿宋_GBK" w:hAnsi="仿宋_GB2312" w:eastAsia="方正仿宋_GBK" w:cs="仿宋_GB2312"/>
          <w:sz w:val="32"/>
          <w:szCs w:val="22"/>
          <w:lang w:eastAsia="zh-CN"/>
        </w:rPr>
        <w:t>组织实施城镇住户劳动力和劳动收入调查；搜集、整理、提供“三农”及劳动力和劳动收入统计数据，并对数据质量进行审核评估，进行统计分析和提供咨询服务，指导乡镇（部门）本专业的统计工作，承担全县城镇居民收入、农村居民收入调查及农村贫困监测工作。负责国家统计法律法规和重庆市地方统计法规、规章在全县的宣传贯彻和对统计执法情况进行监督和检查，查处统计违法违纪行为，承办统计行政复议等法律事务；负责民间统计有关监督管理。</w:t>
      </w:r>
    </w:p>
    <w:p>
      <w:pPr>
        <w:pStyle w:val="6"/>
        <w:tabs>
          <w:tab w:val="center" w:pos="4153"/>
          <w:tab w:val="left" w:pos="7275"/>
        </w:tabs>
        <w:adjustRightInd w:val="0"/>
        <w:snapToGrid w:val="0"/>
        <w:spacing w:line="600" w:lineRule="exact"/>
        <w:ind w:left="0" w:firstLine="643"/>
        <w:rPr>
          <w:rFonts w:hint="eastAsia" w:ascii="方正仿宋_GBK" w:hAnsi="仿宋_GB2312" w:eastAsia="方正仿宋_GBK" w:cs="仿宋_GB2312"/>
          <w:sz w:val="32"/>
          <w:szCs w:val="22"/>
          <w:lang w:val="en-US"/>
        </w:rPr>
      </w:pPr>
      <w:r>
        <w:rPr>
          <w:rFonts w:hint="eastAsia" w:ascii="方正仿宋_GBK" w:hAnsi="仿宋_GB2312" w:eastAsia="方正仿宋_GBK" w:cs="仿宋_GB2312"/>
          <w:b/>
          <w:bCs w:val="0"/>
          <w:sz w:val="32"/>
          <w:szCs w:val="22"/>
          <w:lang w:val="en-US"/>
        </w:rPr>
        <w:t>4</w:t>
      </w:r>
      <w:r>
        <w:rPr>
          <w:rFonts w:hint="eastAsia" w:ascii="方正仿宋_GBK" w:hAnsi="仿宋_GB2312" w:eastAsia="方正仿宋_GBK" w:cs="仿宋_GB2312"/>
          <w:b/>
          <w:bCs w:val="0"/>
          <w:sz w:val="32"/>
          <w:szCs w:val="22"/>
          <w:lang w:eastAsia="zh-CN"/>
        </w:rPr>
        <w:t>、做好社情民意调查工作。</w:t>
      </w:r>
      <w:r>
        <w:rPr>
          <w:rFonts w:hint="eastAsia" w:ascii="方正仿宋_GBK" w:hAnsi="仿宋_GB2312" w:eastAsia="方正仿宋_GBK" w:cs="仿宋_GB2312"/>
          <w:sz w:val="32"/>
          <w:szCs w:val="22"/>
          <w:lang w:eastAsia="zh-CN"/>
        </w:rPr>
        <w:t>收集和反映社会动态、舆情信息和对政府重大决策、决定的意见建议；收集人民群众对社会热点问题的认识和反映；了解提供县委、县政府决策部门所需的信息及其他重要情况；承担市统计局和县委、县政府布置、交办的有关社情民意方面的调查任务及重点目标综合考核调查分析；承担县级各部门委托的专项社情民意调查；对县级部门、乡镇领导民意调查、民主测评相关知识的培训。</w:t>
      </w:r>
    </w:p>
    <w:p>
      <w:pPr>
        <w:pStyle w:val="6"/>
        <w:tabs>
          <w:tab w:val="center" w:pos="4153"/>
          <w:tab w:val="left" w:pos="7275"/>
        </w:tabs>
        <w:adjustRightInd w:val="0"/>
        <w:snapToGrid w:val="0"/>
        <w:spacing w:line="600" w:lineRule="exact"/>
        <w:ind w:left="0" w:firstLine="643"/>
        <w:rPr>
          <w:rFonts w:hint="eastAsia" w:ascii="方正仿宋_GBK" w:hAnsi="仿宋_GB2312" w:eastAsia="方正仿宋_GBK" w:cs="仿宋_GB2312"/>
          <w:sz w:val="32"/>
          <w:szCs w:val="22"/>
          <w:lang w:val="en-US"/>
        </w:rPr>
      </w:pPr>
      <w:r>
        <w:rPr>
          <w:rFonts w:hint="eastAsia" w:ascii="方正仿宋_GBK" w:hAnsi="仿宋_GB2312" w:eastAsia="方正仿宋_GBK" w:cs="仿宋_GB2312"/>
          <w:b/>
          <w:bCs w:val="0"/>
          <w:sz w:val="32"/>
          <w:szCs w:val="22"/>
          <w:lang w:val="en-US"/>
        </w:rPr>
        <w:t>5</w:t>
      </w:r>
      <w:r>
        <w:rPr>
          <w:rFonts w:hint="eastAsia" w:ascii="方正仿宋_GBK" w:hAnsi="仿宋_GB2312" w:eastAsia="方正仿宋_GBK" w:cs="仿宋_GB2312"/>
          <w:b/>
          <w:bCs w:val="0"/>
          <w:sz w:val="32"/>
          <w:szCs w:val="22"/>
          <w:lang w:eastAsia="zh-CN"/>
        </w:rPr>
        <w:t>、做好基本单位名录库维护工作。</w:t>
      </w:r>
      <w:r>
        <w:rPr>
          <w:rFonts w:hint="eastAsia" w:ascii="方正仿宋_GBK" w:hAnsi="仿宋_GB2312" w:eastAsia="方正仿宋_GBK" w:cs="仿宋_GB2312"/>
          <w:sz w:val="32"/>
          <w:szCs w:val="22"/>
          <w:lang w:eastAsia="zh-CN"/>
        </w:rPr>
        <w:t>进一步完善基本单位名录库更新维护制度，按照“统一标准、一库在线、分级维护、及时更新”的 要求，充分利用部门行政记录和专业统计信息，建成统一完整、不重不漏、及时更新的基本单位名录库。</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Style w:val="5"/>
          <w:rFonts w:hint="eastAsia" w:ascii="方正楷体_GBK" w:hAnsi="宋体" w:eastAsia="方正楷体_GBK" w:cs="宋体"/>
          <w:color w:val="auto"/>
          <w:sz w:val="32"/>
          <w:szCs w:val="32"/>
          <w:shd w:val="clear" w:fill="FFFFFF"/>
          <w:lang w:eastAsia="zh-CN"/>
        </w:rPr>
        <w:t>（二）机构设置</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hd w:val="clear" w:fill="FFFFFF"/>
          <w:lang w:val="en-US"/>
        </w:rPr>
      </w:pPr>
      <w:r>
        <w:rPr>
          <w:rFonts w:hint="eastAsia" w:ascii="方正仿宋_GBK" w:hAnsi="方正仿宋_GBK" w:eastAsia="方正仿宋_GBK" w:cs="方正仿宋_GBK"/>
          <w:color w:val="auto"/>
          <w:sz w:val="32"/>
          <w:szCs w:val="32"/>
          <w:shd w:val="clear" w:fill="FFFFFF"/>
          <w:lang w:eastAsia="zh-CN"/>
        </w:rPr>
        <w:t>我局现有机构是三科一室（综合核算科、工业投资科、政策法规科、办公室），较去年无变化。下设机构有</w:t>
      </w:r>
      <w:r>
        <w:rPr>
          <w:rFonts w:hint="eastAsia" w:ascii="方正仿宋_GBK" w:hAnsi="方正仿宋_GBK" w:eastAsia="方正仿宋_GBK" w:cs="方正仿宋_GBK"/>
          <w:color w:val="auto"/>
          <w:sz w:val="32"/>
          <w:szCs w:val="32"/>
          <w:shd w:val="clear" w:fill="FFFFFF"/>
          <w:lang w:val="en-US"/>
        </w:rPr>
        <w:t>4</w:t>
      </w:r>
      <w:r>
        <w:rPr>
          <w:rFonts w:hint="eastAsia" w:ascii="方正仿宋_GBK" w:hAnsi="方正仿宋_GBK" w:eastAsia="方正仿宋_GBK" w:cs="方正仿宋_GBK"/>
          <w:color w:val="auto"/>
          <w:sz w:val="32"/>
          <w:szCs w:val="32"/>
          <w:shd w:val="clear" w:fill="FFFFFF"/>
          <w:lang w:eastAsia="zh-CN"/>
        </w:rPr>
        <w:t>个，社会经济调查队（参公单位）、普查中心（参公单位）、统计行政执法支队（事业单位）、社情民意调查中心（事业单位），较上年无变化。</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Style w:val="5"/>
          <w:rFonts w:hint="eastAsia" w:ascii="方正楷体_GBK" w:hAnsi="宋体" w:eastAsia="方正楷体_GBK" w:cs="宋体"/>
          <w:color w:val="auto"/>
          <w:sz w:val="32"/>
          <w:szCs w:val="32"/>
          <w:shd w:val="clear" w:fill="FFFFFF"/>
          <w:lang w:eastAsia="zh-CN"/>
        </w:rPr>
        <w:t>（三）单位构成</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仿宋_GB2312" w:eastAsia="方正仿宋_GBK" w:cs="仿宋_GB2312"/>
          <w:kern w:val="2"/>
          <w:sz w:val="32"/>
          <w:szCs w:val="22"/>
          <w:shd w:val="clear" w:fill="FFFFFF"/>
          <w:lang w:val="en-US"/>
        </w:rPr>
      </w:pPr>
      <w:r>
        <w:rPr>
          <w:rFonts w:hint="eastAsia" w:ascii="方正仿宋_GBK" w:hAnsi="方正仿宋_GBK" w:eastAsia="方正仿宋_GBK" w:cs="方正仿宋_GBK"/>
          <w:color w:val="auto"/>
          <w:sz w:val="32"/>
          <w:szCs w:val="32"/>
          <w:shd w:val="clear" w:fill="FFFFFF"/>
          <w:lang w:eastAsia="zh-CN"/>
        </w:rPr>
        <w:t>从预算单位构成看，纳入本部门</w:t>
      </w: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年度决算编制的预算单位为石柱土家族自治县统计局本级</w:t>
      </w:r>
      <w:r>
        <w:rPr>
          <w:rFonts w:hint="eastAsia" w:ascii="方正仿宋_GBK" w:hAnsi="方正仿宋_GBK" w:eastAsia="方正仿宋_GBK" w:cs="方正仿宋_GBK"/>
          <w:color w:val="auto"/>
          <w:sz w:val="32"/>
          <w:szCs w:val="32"/>
          <w:shd w:val="clear" w:fill="FFFFFF"/>
          <w:lang w:val="en-US"/>
        </w:rPr>
        <w:t>1</w:t>
      </w:r>
      <w:r>
        <w:rPr>
          <w:rFonts w:hint="eastAsia" w:ascii="方正仿宋_GBK" w:hAnsi="方正仿宋_GBK" w:eastAsia="方正仿宋_GBK" w:cs="方正仿宋_GBK"/>
          <w:color w:val="auto"/>
          <w:sz w:val="32"/>
          <w:szCs w:val="32"/>
          <w:shd w:val="clear" w:fill="FFFFFF"/>
          <w:lang w:eastAsia="zh-CN"/>
        </w:rPr>
        <w:t>个，较上年无变化。我局</w:t>
      </w:r>
      <w:r>
        <w:rPr>
          <w:rFonts w:hint="eastAsia" w:ascii="方正仿宋_GBK" w:hAnsi="方正仿宋_GBK" w:eastAsia="方正仿宋_GBK" w:cs="方正仿宋_GBK"/>
          <w:color w:val="auto"/>
          <w:sz w:val="32"/>
          <w:szCs w:val="32"/>
          <w:shd w:val="clear" w:fill="FFFFFF"/>
          <w:lang w:val="en-US"/>
        </w:rPr>
        <w:t>4</w:t>
      </w:r>
      <w:r>
        <w:rPr>
          <w:rFonts w:hint="eastAsia" w:ascii="方正仿宋_GBK" w:hAnsi="方正仿宋_GBK" w:eastAsia="方正仿宋_GBK" w:cs="方正仿宋_GBK"/>
          <w:color w:val="auto"/>
          <w:sz w:val="32"/>
          <w:szCs w:val="32"/>
          <w:shd w:val="clear" w:fill="FFFFFF"/>
          <w:lang w:eastAsia="zh-CN"/>
        </w:rPr>
        <w:t>个下属事业单位，即社会经济调查队（参公单位）、普查中心（参公单位）、统计行政执法支队（事业单位）、社情民意调查中心（事业单位）均未独立核算，由统计局本级统一预算经费。</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黑体_GBK" w:hAnsi="方正黑体_GBK" w:eastAsia="方正黑体_GBK" w:cs="方正黑体_GBK"/>
          <w:b/>
          <w:bCs w:val="0"/>
          <w:sz w:val="32"/>
          <w:szCs w:val="32"/>
          <w:shd w:val="clear" w:fill="FFFFFF"/>
          <w:lang w:val="en-US"/>
        </w:rPr>
      </w:pPr>
      <w:r>
        <w:rPr>
          <w:rStyle w:val="5"/>
          <w:rFonts w:hint="eastAsia" w:ascii="方正黑体_GBK" w:hAnsi="宋体" w:eastAsia="方正黑体_GBK" w:cs="宋体"/>
          <w:b w:val="0"/>
          <w:bCs/>
          <w:color w:val="auto"/>
          <w:sz w:val="32"/>
          <w:szCs w:val="32"/>
          <w:shd w:val="clear" w:fill="FFFFFF"/>
          <w:lang w:eastAsia="zh-CN"/>
        </w:rPr>
        <w:t>二、部门决算情况说明</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Style w:val="5"/>
          <w:rFonts w:hint="eastAsia" w:ascii="方正楷体_GBK" w:hAnsi="宋体" w:eastAsia="方正楷体_GBK" w:cs="宋体"/>
          <w:color w:val="auto"/>
          <w:sz w:val="32"/>
          <w:szCs w:val="32"/>
          <w:shd w:val="clear" w:fill="FFFFFF"/>
          <w:lang w:eastAsia="zh-CN"/>
        </w:rPr>
        <w:t>（一）收入支出决算总体情况说明</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Style w:val="5"/>
          <w:rFonts w:hint="eastAsia" w:ascii="方正仿宋_GBK" w:hAnsi="宋体" w:eastAsia="方正仿宋_GBK" w:cs="宋体"/>
          <w:color w:val="auto"/>
          <w:sz w:val="32"/>
          <w:szCs w:val="32"/>
          <w:shd w:val="clear" w:fill="FFFFFF"/>
          <w:lang w:val="en-US"/>
        </w:rPr>
        <w:t>1.</w:t>
      </w:r>
      <w:r>
        <w:rPr>
          <w:rStyle w:val="5"/>
          <w:rFonts w:hint="eastAsia" w:ascii="方正仿宋_GBK" w:hAnsi="宋体" w:eastAsia="方正仿宋_GBK" w:cs="宋体"/>
          <w:color w:val="auto"/>
          <w:sz w:val="32"/>
          <w:szCs w:val="32"/>
          <w:shd w:val="clear" w:fill="FFFFFF"/>
          <w:lang w:eastAsia="zh-CN"/>
        </w:rPr>
        <w:t>总体情况</w:t>
      </w:r>
      <w:r>
        <w:rPr>
          <w:rFonts w:hint="eastAsia" w:ascii="方正仿宋_GBK" w:hAnsi="方正仿宋_GBK" w:eastAsia="方正仿宋_GBK" w:cs="方正仿宋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年度收入总计</w:t>
      </w:r>
      <w:r>
        <w:rPr>
          <w:rFonts w:hint="eastAsia" w:ascii="方正仿宋_GBK" w:hAnsi="方正仿宋_GBK" w:eastAsia="方正仿宋_GBK" w:cs="方正仿宋_GBK"/>
          <w:color w:val="auto"/>
          <w:sz w:val="32"/>
          <w:szCs w:val="32"/>
          <w:shd w:val="clear" w:fill="FFFFFF"/>
          <w:lang w:val="en-US"/>
        </w:rPr>
        <w:t>828.63</w:t>
      </w:r>
      <w:r>
        <w:rPr>
          <w:rFonts w:hint="eastAsia" w:ascii="方正仿宋_GBK" w:hAnsi="方正仿宋_GBK" w:eastAsia="方正仿宋_GBK" w:cs="方正仿宋_GBK"/>
          <w:color w:val="auto"/>
          <w:sz w:val="32"/>
          <w:szCs w:val="32"/>
          <w:shd w:val="clear" w:fill="FFFFFF"/>
          <w:lang w:eastAsia="zh-CN"/>
        </w:rPr>
        <w:t>万元，支出总计</w:t>
      </w:r>
      <w:r>
        <w:rPr>
          <w:rFonts w:hint="eastAsia" w:ascii="方正仿宋_GBK" w:hAnsi="方正仿宋_GBK" w:eastAsia="方正仿宋_GBK" w:cs="方正仿宋_GBK"/>
          <w:color w:val="auto"/>
          <w:sz w:val="32"/>
          <w:szCs w:val="32"/>
          <w:shd w:val="clear" w:fill="FFFFFF"/>
          <w:lang w:val="en-US"/>
        </w:rPr>
        <w:t>828.63</w:t>
      </w:r>
      <w:r>
        <w:rPr>
          <w:rFonts w:hint="eastAsia" w:ascii="方正仿宋_GBK" w:hAnsi="方正仿宋_GBK" w:eastAsia="方正仿宋_GBK" w:cs="方正仿宋_GBK"/>
          <w:color w:val="auto"/>
          <w:sz w:val="32"/>
          <w:szCs w:val="32"/>
          <w:shd w:val="clear" w:fill="FFFFFF"/>
          <w:lang w:eastAsia="zh-CN"/>
        </w:rPr>
        <w:t>万元。收支较上年决算数增加</w:t>
      </w:r>
      <w:r>
        <w:rPr>
          <w:rFonts w:hint="eastAsia" w:ascii="方正仿宋_GBK" w:hAnsi="方正仿宋_GBK" w:eastAsia="方正仿宋_GBK" w:cs="方正仿宋_GBK"/>
          <w:color w:val="auto"/>
          <w:sz w:val="32"/>
          <w:szCs w:val="32"/>
          <w:shd w:val="clear" w:fill="FFFFFF"/>
          <w:lang w:val="en-US"/>
        </w:rPr>
        <w:t>102.91</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vanish/>
          <w:color w:val="auto"/>
          <w:sz w:val="32"/>
          <w:szCs w:val="32"/>
          <w:shd w:val="clear" w:fill="FFFFFF"/>
          <w:lang w:eastAsia="zh-CN"/>
        </w:rPr>
        <w:t xml:space="preserve"> </w:t>
      </w:r>
      <w:r>
        <w:rPr>
          <w:rFonts w:hint="eastAsia" w:ascii="方正仿宋_GBK" w:hAnsi="方正仿宋_GBK" w:eastAsia="方正仿宋_GBK" w:cs="方正仿宋_GBK"/>
          <w:color w:val="auto"/>
          <w:sz w:val="32"/>
          <w:szCs w:val="32"/>
          <w:shd w:val="clear" w:fill="FFFFFF"/>
          <w:lang w:val="en-US"/>
        </w:rPr>
        <w:t>14.2%</w:t>
      </w:r>
      <w:r>
        <w:rPr>
          <w:rFonts w:hint="eastAsia" w:ascii="方正仿宋_GBK" w:hAnsi="方正仿宋_GBK" w:eastAsia="方正仿宋_GBK" w:cs="方正仿宋_GBK"/>
          <w:color w:val="auto"/>
          <w:sz w:val="32"/>
          <w:szCs w:val="32"/>
          <w:shd w:val="clear" w:fill="FFFFFF"/>
          <w:lang w:eastAsia="zh-CN"/>
        </w:rPr>
        <w:t>，主要原因一是本年度公用经费标准提高，基本支出增加；二是本年度人口普查工作基本完成，该项工作为阶段性工作，本年度经费用于支付“两员”补助费用，项目支出增加。</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b/>
          <w:bCs/>
          <w:color w:val="auto"/>
          <w:sz w:val="32"/>
          <w:szCs w:val="32"/>
          <w:shd w:val="clear" w:fill="FFFFFF"/>
          <w:lang w:val="en-US"/>
        </w:rPr>
        <w:t>2.</w:t>
      </w:r>
      <w:r>
        <w:rPr>
          <w:rFonts w:hint="eastAsia" w:ascii="方正仿宋_GBK" w:hAnsi="方正仿宋_GBK" w:eastAsia="方正仿宋_GBK" w:cs="方正仿宋_GBK"/>
          <w:b/>
          <w:bCs/>
          <w:color w:val="auto"/>
          <w:sz w:val="32"/>
          <w:szCs w:val="32"/>
          <w:shd w:val="clear" w:fill="FFFFFF"/>
          <w:lang w:eastAsia="zh-CN"/>
        </w:rPr>
        <w:t>收入情况。</w:t>
      </w: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年度收入合计</w:t>
      </w:r>
      <w:r>
        <w:rPr>
          <w:rFonts w:hint="eastAsia" w:ascii="方正仿宋_GBK" w:hAnsi="方正仿宋_GBK" w:eastAsia="方正仿宋_GBK" w:cs="方正仿宋_GBK"/>
          <w:color w:val="auto"/>
          <w:sz w:val="32"/>
          <w:szCs w:val="32"/>
          <w:shd w:val="clear" w:fill="FFFFFF"/>
          <w:lang w:val="en-US"/>
        </w:rPr>
        <w:t>828.63</w:t>
      </w:r>
      <w:r>
        <w:rPr>
          <w:rFonts w:hint="eastAsia" w:ascii="方正仿宋_GBK" w:hAnsi="方正仿宋_GBK" w:eastAsia="方正仿宋_GBK" w:cs="方正仿宋_GBK"/>
          <w:color w:val="auto"/>
          <w:sz w:val="32"/>
          <w:szCs w:val="32"/>
          <w:shd w:val="clear" w:fill="FFFFFF"/>
          <w:lang w:eastAsia="zh-CN"/>
        </w:rPr>
        <w:t>万元，较上年决算数增加</w:t>
      </w:r>
      <w:r>
        <w:rPr>
          <w:rFonts w:hint="eastAsia" w:ascii="方正仿宋_GBK" w:hAnsi="方正仿宋_GBK" w:eastAsia="方正仿宋_GBK" w:cs="方正仿宋_GBK"/>
          <w:color w:val="auto"/>
          <w:sz w:val="32"/>
          <w:szCs w:val="32"/>
          <w:shd w:val="clear" w:fill="FFFFFF"/>
          <w:lang w:val="en-US"/>
        </w:rPr>
        <w:t>102.91</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14.2%</w:t>
      </w:r>
      <w:r>
        <w:rPr>
          <w:rFonts w:hint="eastAsia" w:ascii="方正仿宋_GBK" w:hAnsi="方正仿宋_GBK" w:eastAsia="方正仿宋_GBK" w:cs="方正仿宋_GBK"/>
          <w:color w:val="auto"/>
          <w:sz w:val="32"/>
          <w:szCs w:val="32"/>
          <w:shd w:val="clear" w:fill="FFFFFF"/>
          <w:lang w:eastAsia="zh-CN"/>
        </w:rPr>
        <w:t>，主要原因一是本年度公用经费标准提高，基本支出增加；二是本年度人口普查工作基本完成，该项工作为阶段性工作，本年度经费用于支付“两员”补助费用，项目支出增加，财政拨款收入增加。其中：财政拨款收入</w:t>
      </w:r>
      <w:r>
        <w:rPr>
          <w:rFonts w:hint="eastAsia" w:ascii="方正仿宋_GBK" w:hAnsi="方正仿宋_GBK" w:eastAsia="方正仿宋_GBK" w:cs="方正仿宋_GBK"/>
          <w:color w:val="auto"/>
          <w:sz w:val="32"/>
          <w:szCs w:val="32"/>
          <w:shd w:val="clear" w:fill="FFFFFF"/>
          <w:lang w:val="en-US"/>
        </w:rPr>
        <w:t>828.63</w:t>
      </w:r>
      <w:r>
        <w:rPr>
          <w:rFonts w:hint="eastAsia" w:ascii="方正仿宋_GBK" w:hAnsi="方正仿宋_GBK" w:eastAsia="方正仿宋_GBK" w:cs="方正仿宋_GBK"/>
          <w:color w:val="auto"/>
          <w:sz w:val="32"/>
          <w:szCs w:val="32"/>
          <w:shd w:val="clear" w:fill="FFFFFF"/>
          <w:lang w:eastAsia="zh-CN"/>
        </w:rPr>
        <w:t>万元，占</w:t>
      </w:r>
      <w:r>
        <w:rPr>
          <w:rFonts w:hint="eastAsia" w:ascii="方正仿宋_GBK" w:hAnsi="方正仿宋_GBK" w:eastAsia="方正仿宋_GBK" w:cs="方正仿宋_GBK"/>
          <w:color w:val="auto"/>
          <w:sz w:val="32"/>
          <w:szCs w:val="32"/>
          <w:shd w:val="clear" w:fill="FFFFFF"/>
          <w:lang w:val="en-US"/>
        </w:rPr>
        <w:t>100%</w:t>
      </w:r>
      <w:r>
        <w:rPr>
          <w:rFonts w:hint="eastAsia" w:ascii="方正仿宋_GBK" w:hAnsi="方正仿宋_GBK" w:eastAsia="方正仿宋_GBK" w:cs="方正仿宋_GBK"/>
          <w:color w:val="auto"/>
          <w:sz w:val="32"/>
          <w:szCs w:val="32"/>
          <w:shd w:val="clear" w:fill="FFFFFF"/>
          <w:lang w:eastAsia="zh-CN"/>
        </w:rPr>
        <w:t>。</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b/>
          <w:bCs w:val="0"/>
          <w:color w:val="auto"/>
          <w:sz w:val="32"/>
          <w:szCs w:val="32"/>
          <w:shd w:val="clear" w:fill="FFFFFF"/>
          <w:lang w:val="en-US"/>
        </w:rPr>
        <w:t>3.</w:t>
      </w:r>
      <w:r>
        <w:rPr>
          <w:rFonts w:hint="eastAsia" w:ascii="方正仿宋_GBK" w:hAnsi="方正仿宋_GBK" w:eastAsia="方正仿宋_GBK" w:cs="方正仿宋_GBK"/>
          <w:b/>
          <w:bCs w:val="0"/>
          <w:color w:val="auto"/>
          <w:sz w:val="32"/>
          <w:szCs w:val="32"/>
          <w:shd w:val="clear" w:fill="FFFFFF"/>
          <w:lang w:eastAsia="zh-CN"/>
        </w:rPr>
        <w:t>支出情况。</w:t>
      </w: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年度支出合计</w:t>
      </w:r>
      <w:r>
        <w:rPr>
          <w:rFonts w:hint="eastAsia" w:ascii="方正仿宋_GBK" w:hAnsi="方正仿宋_GBK" w:eastAsia="方正仿宋_GBK" w:cs="方正仿宋_GBK"/>
          <w:color w:val="auto"/>
          <w:sz w:val="32"/>
          <w:szCs w:val="32"/>
          <w:shd w:val="clear" w:fill="FFFFFF"/>
          <w:lang w:val="en-US"/>
        </w:rPr>
        <w:t>828.63</w:t>
      </w:r>
      <w:r>
        <w:rPr>
          <w:rFonts w:hint="eastAsia" w:ascii="方正仿宋_GBK" w:hAnsi="方正仿宋_GBK" w:eastAsia="方正仿宋_GBK" w:cs="方正仿宋_GBK"/>
          <w:color w:val="auto"/>
          <w:sz w:val="32"/>
          <w:szCs w:val="32"/>
          <w:shd w:val="clear" w:fill="FFFFFF"/>
          <w:lang w:eastAsia="zh-CN"/>
        </w:rPr>
        <w:t>万元，较上年决算数增加</w:t>
      </w:r>
      <w:r>
        <w:rPr>
          <w:rFonts w:hint="eastAsia" w:ascii="方正仿宋_GBK" w:hAnsi="方正仿宋_GBK" w:eastAsia="方正仿宋_GBK" w:cs="方正仿宋_GBK"/>
          <w:color w:val="auto"/>
          <w:sz w:val="32"/>
          <w:szCs w:val="32"/>
          <w:shd w:val="clear" w:fill="FFFFFF"/>
          <w:lang w:val="en-US"/>
        </w:rPr>
        <w:t>102.91</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14.2%</w:t>
      </w:r>
      <w:r>
        <w:rPr>
          <w:rFonts w:hint="eastAsia" w:ascii="方正仿宋_GBK" w:hAnsi="方正仿宋_GBK" w:eastAsia="方正仿宋_GBK" w:cs="方正仿宋_GBK"/>
          <w:color w:val="auto"/>
          <w:sz w:val="32"/>
          <w:szCs w:val="32"/>
          <w:shd w:val="clear" w:fill="FFFFFF"/>
          <w:lang w:eastAsia="zh-CN"/>
        </w:rPr>
        <w:t>，主要原因一是本年度公用经费标准提高，基本支出增加；二是本年度人口普查工作基本完成，该项工作为阶段性工作，本年度经费用于支付“两员”补助费用，项目支出增加。其中：基本支出</w:t>
      </w:r>
      <w:r>
        <w:rPr>
          <w:rFonts w:hint="eastAsia" w:ascii="方正仿宋_GBK" w:hAnsi="方正仿宋_GBK" w:eastAsia="方正仿宋_GBK" w:cs="方正仿宋_GBK"/>
          <w:color w:val="auto"/>
          <w:sz w:val="32"/>
          <w:szCs w:val="32"/>
          <w:shd w:val="clear" w:fill="FFFFFF"/>
          <w:lang w:val="en-US"/>
        </w:rPr>
        <w:t>575.46</w:t>
      </w:r>
      <w:r>
        <w:rPr>
          <w:rFonts w:hint="eastAsia" w:ascii="方正仿宋_GBK" w:hAnsi="方正仿宋_GBK" w:eastAsia="方正仿宋_GBK" w:cs="方正仿宋_GBK"/>
          <w:color w:val="auto"/>
          <w:sz w:val="32"/>
          <w:szCs w:val="32"/>
          <w:shd w:val="clear" w:fill="FFFFFF"/>
          <w:lang w:eastAsia="zh-CN"/>
        </w:rPr>
        <w:t>万元，占</w:t>
      </w:r>
      <w:r>
        <w:rPr>
          <w:rFonts w:hint="eastAsia" w:ascii="方正仿宋_GBK" w:hAnsi="方正仿宋_GBK" w:eastAsia="方正仿宋_GBK" w:cs="方正仿宋_GBK"/>
          <w:color w:val="auto"/>
          <w:sz w:val="32"/>
          <w:szCs w:val="32"/>
          <w:shd w:val="clear" w:fill="FFFFFF"/>
          <w:lang w:val="en-US"/>
        </w:rPr>
        <w:t>69.4%</w:t>
      </w:r>
      <w:r>
        <w:rPr>
          <w:rFonts w:hint="eastAsia" w:ascii="方正仿宋_GBK" w:hAnsi="方正仿宋_GBK" w:eastAsia="方正仿宋_GBK" w:cs="方正仿宋_GBK"/>
          <w:color w:val="auto"/>
          <w:sz w:val="32"/>
          <w:szCs w:val="32"/>
          <w:shd w:val="clear" w:fill="FFFFFF"/>
          <w:lang w:eastAsia="zh-CN"/>
        </w:rPr>
        <w:t>；项目支出</w:t>
      </w:r>
      <w:r>
        <w:rPr>
          <w:rFonts w:hint="eastAsia" w:ascii="方正仿宋_GBK" w:hAnsi="方正仿宋_GBK" w:eastAsia="方正仿宋_GBK" w:cs="方正仿宋_GBK"/>
          <w:color w:val="auto"/>
          <w:sz w:val="32"/>
          <w:szCs w:val="32"/>
          <w:shd w:val="clear" w:fill="FFFFFF"/>
          <w:lang w:val="en-US"/>
        </w:rPr>
        <w:t>253.17</w:t>
      </w:r>
      <w:r>
        <w:rPr>
          <w:rFonts w:hint="eastAsia" w:ascii="方正仿宋_GBK" w:hAnsi="方正仿宋_GBK" w:eastAsia="方正仿宋_GBK" w:cs="方正仿宋_GBK"/>
          <w:color w:val="auto"/>
          <w:sz w:val="32"/>
          <w:szCs w:val="32"/>
          <w:shd w:val="clear" w:fill="FFFFFF"/>
          <w:lang w:eastAsia="zh-CN"/>
        </w:rPr>
        <w:t>万元，占</w:t>
      </w:r>
      <w:r>
        <w:rPr>
          <w:rFonts w:hint="eastAsia" w:ascii="方正仿宋_GBK" w:hAnsi="方正仿宋_GBK" w:eastAsia="方正仿宋_GBK" w:cs="方正仿宋_GBK"/>
          <w:color w:val="auto"/>
          <w:sz w:val="32"/>
          <w:szCs w:val="32"/>
          <w:shd w:val="clear" w:fill="FFFFFF"/>
          <w:lang w:val="en-US"/>
        </w:rPr>
        <w:t>30.6%</w:t>
      </w:r>
      <w:r>
        <w:rPr>
          <w:rFonts w:hint="eastAsia" w:ascii="方正仿宋_GBK" w:hAnsi="方正仿宋_GBK" w:eastAsia="方正仿宋_GBK" w:cs="方正仿宋_GBK"/>
          <w:color w:val="auto"/>
          <w:sz w:val="32"/>
          <w:szCs w:val="32"/>
          <w:shd w:val="clear" w:fill="FFFFFF"/>
          <w:lang w:eastAsia="zh-CN"/>
        </w:rPr>
        <w:t>。</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b/>
          <w:bCs/>
          <w:color w:val="auto"/>
          <w:sz w:val="32"/>
          <w:szCs w:val="32"/>
          <w:shd w:val="clear" w:fill="FFFFFF"/>
          <w:lang w:val="en-US"/>
        </w:rPr>
        <w:t xml:space="preserve"> 4.</w:t>
      </w:r>
      <w:r>
        <w:rPr>
          <w:rFonts w:hint="eastAsia" w:ascii="方正仿宋_GBK" w:hAnsi="方正仿宋_GBK" w:eastAsia="方正仿宋_GBK" w:cs="方正仿宋_GBK"/>
          <w:b/>
          <w:bCs/>
          <w:color w:val="auto"/>
          <w:sz w:val="32"/>
          <w:szCs w:val="32"/>
          <w:shd w:val="clear" w:fill="FFFFFF"/>
          <w:lang w:eastAsia="zh-CN"/>
        </w:rPr>
        <w:t>结转结余情况。</w:t>
      </w: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年度年末结转和结余</w:t>
      </w:r>
      <w:r>
        <w:rPr>
          <w:rFonts w:hint="eastAsia" w:ascii="方正仿宋_GBK" w:hAnsi="方正仿宋_GBK" w:eastAsia="方正仿宋_GBK" w:cs="方正仿宋_GBK"/>
          <w:color w:val="auto"/>
          <w:sz w:val="32"/>
          <w:szCs w:val="32"/>
          <w:shd w:val="clear" w:fill="FFFFFF"/>
          <w:lang w:val="en-US"/>
        </w:rPr>
        <w:t>0.00</w:t>
      </w:r>
      <w:r>
        <w:rPr>
          <w:rFonts w:hint="eastAsia" w:ascii="方正仿宋_GBK" w:hAnsi="方正仿宋_GBK" w:eastAsia="方正仿宋_GBK" w:cs="方正仿宋_GBK"/>
          <w:color w:val="auto"/>
          <w:sz w:val="32"/>
          <w:szCs w:val="32"/>
          <w:shd w:val="clear" w:fill="FFFFFF"/>
          <w:lang w:eastAsia="zh-CN"/>
        </w:rPr>
        <w:t>万元，较上年决算数无变化。</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（二）财政拨款收入支出决算总体情况说明</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年度财政拨款收、支总计</w:t>
      </w:r>
      <w:r>
        <w:rPr>
          <w:rFonts w:hint="eastAsia" w:ascii="方正仿宋_GBK" w:hAnsi="方正仿宋_GBK" w:eastAsia="方正仿宋_GBK" w:cs="方正仿宋_GBK"/>
          <w:color w:val="auto"/>
          <w:sz w:val="32"/>
          <w:szCs w:val="32"/>
          <w:shd w:val="clear" w:fill="FFFFFF"/>
          <w:lang w:val="en-US"/>
        </w:rPr>
        <w:t>828.63</w:t>
      </w:r>
      <w:r>
        <w:rPr>
          <w:rFonts w:hint="eastAsia" w:ascii="方正仿宋_GBK" w:hAnsi="方正仿宋_GBK" w:eastAsia="方正仿宋_GBK" w:cs="方正仿宋_GBK"/>
          <w:color w:val="auto"/>
          <w:sz w:val="32"/>
          <w:szCs w:val="32"/>
          <w:shd w:val="clear" w:fill="FFFFFF"/>
          <w:lang w:eastAsia="zh-CN"/>
        </w:rPr>
        <w:t>万元。与</w:t>
      </w:r>
      <w:r>
        <w:rPr>
          <w:rFonts w:hint="eastAsia" w:ascii="方正仿宋_GBK" w:hAnsi="方正仿宋_GBK" w:eastAsia="方正仿宋_GBK" w:cs="方正仿宋_GBK"/>
          <w:color w:val="auto"/>
          <w:sz w:val="32"/>
          <w:szCs w:val="32"/>
          <w:shd w:val="clear" w:fill="FFFFFF"/>
          <w:lang w:val="en-US"/>
        </w:rPr>
        <w:t>2020</w:t>
      </w:r>
      <w:r>
        <w:rPr>
          <w:rFonts w:hint="eastAsia" w:ascii="方正仿宋_GBK" w:hAnsi="方正仿宋_GBK" w:eastAsia="方正仿宋_GBK" w:cs="方正仿宋_GBK"/>
          <w:color w:val="auto"/>
          <w:sz w:val="32"/>
          <w:szCs w:val="32"/>
          <w:shd w:val="clear" w:fill="FFFFFF"/>
          <w:lang w:eastAsia="zh-CN"/>
        </w:rPr>
        <w:t>年相比，财政拨款收、支总计各增加</w:t>
      </w:r>
      <w:r>
        <w:rPr>
          <w:rFonts w:hint="eastAsia" w:ascii="方正仿宋_GBK" w:hAnsi="方正仿宋_GBK" w:eastAsia="方正仿宋_GBK" w:cs="方正仿宋_GBK"/>
          <w:color w:val="auto"/>
          <w:sz w:val="32"/>
          <w:szCs w:val="32"/>
          <w:shd w:val="clear" w:fill="FFFFFF"/>
          <w:lang w:val="en-US"/>
        </w:rPr>
        <w:t>102.91</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14.2%</w:t>
      </w:r>
      <w:r>
        <w:rPr>
          <w:rFonts w:hint="eastAsia" w:ascii="方正仿宋_GBK" w:hAnsi="方正仿宋_GBK" w:eastAsia="方正仿宋_GBK" w:cs="方正仿宋_GBK"/>
          <w:color w:val="auto"/>
          <w:sz w:val="32"/>
          <w:szCs w:val="32"/>
          <w:shd w:val="clear" w:fill="FFFFFF"/>
          <w:lang w:eastAsia="zh-CN"/>
        </w:rPr>
        <w:t>。主要原因一是本年度公用经费标准提高，基本支出增加；二是本年度人口普查工作基本完成，该项工作为阶段性工作，本年度经费用于支付“两员”补助费用，项目支出增加。</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（三）一般公共预算财政拨款支出决算情况说明</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b/>
          <w:bCs/>
          <w:color w:val="auto"/>
          <w:sz w:val="32"/>
          <w:szCs w:val="32"/>
          <w:shd w:val="clear" w:fill="FFFFFF"/>
          <w:lang w:val="en-US"/>
        </w:rPr>
        <w:t>1.</w:t>
      </w:r>
      <w:r>
        <w:rPr>
          <w:rFonts w:hint="eastAsia" w:ascii="方正仿宋_GBK" w:hAnsi="方正仿宋_GBK" w:eastAsia="方正仿宋_GBK" w:cs="方正仿宋_GBK"/>
          <w:b/>
          <w:bCs/>
          <w:color w:val="auto"/>
          <w:sz w:val="32"/>
          <w:szCs w:val="32"/>
          <w:shd w:val="clear" w:fill="FFFFFF"/>
          <w:lang w:eastAsia="zh-CN"/>
        </w:rPr>
        <w:t>收入情况。</w:t>
      </w: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年度一般公共预算财政拨款收入</w:t>
      </w:r>
      <w:r>
        <w:rPr>
          <w:rFonts w:hint="eastAsia" w:ascii="方正仿宋_GBK" w:hAnsi="方正仿宋_GBK" w:eastAsia="方正仿宋_GBK" w:cs="方正仿宋_GBK"/>
          <w:color w:val="auto"/>
          <w:sz w:val="32"/>
          <w:szCs w:val="32"/>
          <w:shd w:val="clear" w:fill="FFFFFF"/>
          <w:lang w:val="en-US"/>
        </w:rPr>
        <w:t>828.63</w:t>
      </w:r>
      <w:r>
        <w:rPr>
          <w:rFonts w:hint="eastAsia" w:ascii="方正仿宋_GBK" w:hAnsi="方正仿宋_GBK" w:eastAsia="方正仿宋_GBK" w:cs="方正仿宋_GBK"/>
          <w:color w:val="auto"/>
          <w:sz w:val="32"/>
          <w:szCs w:val="32"/>
          <w:shd w:val="clear" w:fill="FFFFFF"/>
          <w:lang w:eastAsia="zh-CN"/>
        </w:rPr>
        <w:t>万元，较上年决算数增加</w:t>
      </w:r>
      <w:r>
        <w:rPr>
          <w:rFonts w:hint="eastAsia" w:ascii="方正仿宋_GBK" w:hAnsi="方正仿宋_GBK" w:eastAsia="方正仿宋_GBK" w:cs="方正仿宋_GBK"/>
          <w:color w:val="auto"/>
          <w:sz w:val="32"/>
          <w:szCs w:val="32"/>
          <w:shd w:val="clear" w:fill="FFFFFF"/>
          <w:lang w:val="en-US"/>
        </w:rPr>
        <w:t>102.91</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14.2%</w:t>
      </w:r>
      <w:r>
        <w:rPr>
          <w:rFonts w:hint="eastAsia" w:ascii="方正仿宋_GBK" w:hAnsi="方正仿宋_GBK" w:eastAsia="方正仿宋_GBK" w:cs="方正仿宋_GBK"/>
          <w:color w:val="auto"/>
          <w:sz w:val="32"/>
          <w:szCs w:val="32"/>
          <w:shd w:val="clear" w:fill="FFFFFF"/>
          <w:lang w:eastAsia="zh-CN"/>
        </w:rPr>
        <w:t>。主要原因一是本年度公用经费标准提高，基本支出增加；二是本年度人口普查工作基本完成，该项工作为阶段性工作，本年度经费用于支付“两员”补助费用，项目支出增加。较年初预算数减少</w:t>
      </w:r>
      <w:r>
        <w:rPr>
          <w:rFonts w:hint="eastAsia" w:ascii="方正仿宋_GBK" w:hAnsi="方正仿宋_GBK" w:eastAsia="方正仿宋_GBK" w:cs="方正仿宋_GBK"/>
          <w:color w:val="auto"/>
          <w:sz w:val="32"/>
          <w:szCs w:val="32"/>
          <w:shd w:val="clear" w:fill="FFFFFF"/>
          <w:lang w:val="en-US"/>
        </w:rPr>
        <w:t>182.65</w:t>
      </w:r>
      <w:r>
        <w:rPr>
          <w:rFonts w:hint="eastAsia" w:ascii="方正仿宋_GBK" w:hAnsi="方正仿宋_GBK" w:eastAsia="方正仿宋_GBK" w:cs="方正仿宋_GBK"/>
          <w:color w:val="auto"/>
          <w:sz w:val="32"/>
          <w:szCs w:val="32"/>
          <w:shd w:val="clear" w:fill="FFFFFF"/>
          <w:lang w:eastAsia="zh-CN"/>
        </w:rPr>
        <w:t>万元，下降</w:t>
      </w:r>
      <w:r>
        <w:rPr>
          <w:rFonts w:hint="eastAsia" w:ascii="方正仿宋_GBK" w:hAnsi="方正仿宋_GBK" w:eastAsia="方正仿宋_GBK" w:cs="方正仿宋_GBK"/>
          <w:color w:val="auto"/>
          <w:sz w:val="32"/>
          <w:szCs w:val="32"/>
          <w:shd w:val="clear" w:fill="FFFFFF"/>
          <w:lang w:val="en-US"/>
        </w:rPr>
        <w:t>18.1%</w:t>
      </w:r>
      <w:r>
        <w:rPr>
          <w:rFonts w:hint="eastAsia" w:ascii="方正仿宋_GBK" w:hAnsi="方正仿宋_GBK" w:eastAsia="方正仿宋_GBK" w:cs="方正仿宋_GBK"/>
          <w:color w:val="auto"/>
          <w:sz w:val="32"/>
          <w:szCs w:val="32"/>
          <w:shd w:val="clear" w:fill="FFFFFF"/>
          <w:lang w:eastAsia="zh-CN"/>
        </w:rPr>
        <w:t>。主要原因是今年年初预算人口普查项目经费</w:t>
      </w:r>
      <w:r>
        <w:rPr>
          <w:rFonts w:hint="eastAsia" w:ascii="方正仿宋_GBK" w:hAnsi="方正仿宋_GBK" w:eastAsia="方正仿宋_GBK" w:cs="方正仿宋_GBK"/>
          <w:color w:val="auto"/>
          <w:sz w:val="32"/>
          <w:szCs w:val="32"/>
          <w:shd w:val="clear" w:fill="FFFFFF"/>
          <w:lang w:val="en-US"/>
        </w:rPr>
        <w:t>400</w:t>
      </w:r>
      <w:r>
        <w:rPr>
          <w:rFonts w:hint="eastAsia" w:ascii="方正仿宋_GBK" w:hAnsi="方正仿宋_GBK" w:eastAsia="方正仿宋_GBK" w:cs="方正仿宋_GBK"/>
          <w:color w:val="auto"/>
          <w:sz w:val="32"/>
          <w:szCs w:val="32"/>
          <w:shd w:val="clear" w:fill="FFFFFF"/>
          <w:lang w:eastAsia="zh-CN"/>
        </w:rPr>
        <w:t>万元，在实际工作中本着厉行节约的原则，该项目经费未使用完，导致决算较年初预算减少。此外，年初财政拨款结转和结余</w:t>
      </w:r>
      <w:r>
        <w:rPr>
          <w:rFonts w:hint="eastAsia" w:ascii="方正仿宋_GBK" w:hAnsi="方正仿宋_GBK" w:eastAsia="方正仿宋_GBK" w:cs="方正仿宋_GBK"/>
          <w:color w:val="auto"/>
          <w:sz w:val="32"/>
          <w:szCs w:val="32"/>
          <w:shd w:val="clear" w:fill="FFFFFF"/>
          <w:lang w:val="en-US"/>
        </w:rPr>
        <w:t>0.00</w:t>
      </w:r>
      <w:r>
        <w:rPr>
          <w:rFonts w:hint="eastAsia" w:ascii="方正仿宋_GBK" w:hAnsi="方正仿宋_GBK" w:eastAsia="方正仿宋_GBK" w:cs="方正仿宋_GBK"/>
          <w:color w:val="auto"/>
          <w:sz w:val="32"/>
          <w:szCs w:val="32"/>
          <w:shd w:val="clear" w:fill="FFFFFF"/>
          <w:lang w:eastAsia="zh-CN"/>
        </w:rPr>
        <w:t>万元。</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b/>
          <w:bCs/>
          <w:color w:val="auto"/>
          <w:sz w:val="32"/>
          <w:szCs w:val="32"/>
          <w:shd w:val="clear" w:fill="FFFFFF"/>
          <w:lang w:val="en-US"/>
        </w:rPr>
        <w:t>2.</w:t>
      </w:r>
      <w:r>
        <w:rPr>
          <w:rFonts w:hint="eastAsia" w:ascii="方正仿宋_GBK" w:hAnsi="方正仿宋_GBK" w:eastAsia="方正仿宋_GBK" w:cs="方正仿宋_GBK"/>
          <w:b/>
          <w:bCs/>
          <w:color w:val="auto"/>
          <w:sz w:val="32"/>
          <w:szCs w:val="32"/>
          <w:shd w:val="clear" w:fill="FFFFFF"/>
          <w:lang w:eastAsia="zh-CN"/>
        </w:rPr>
        <w:t>支出情况。</w:t>
      </w: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年度一般公共预算财政拨款支出</w:t>
      </w:r>
      <w:r>
        <w:rPr>
          <w:rFonts w:hint="eastAsia" w:ascii="方正仿宋_GBK" w:hAnsi="方正仿宋_GBK" w:eastAsia="方正仿宋_GBK" w:cs="方正仿宋_GBK"/>
          <w:color w:val="auto"/>
          <w:sz w:val="32"/>
          <w:szCs w:val="32"/>
          <w:shd w:val="clear" w:fill="FFFFFF"/>
          <w:lang w:val="en-US"/>
        </w:rPr>
        <w:t>828.63</w:t>
      </w:r>
      <w:r>
        <w:rPr>
          <w:rFonts w:hint="eastAsia" w:ascii="方正仿宋_GBK" w:hAnsi="方正仿宋_GBK" w:eastAsia="方正仿宋_GBK" w:cs="方正仿宋_GBK"/>
          <w:color w:val="auto"/>
          <w:sz w:val="32"/>
          <w:szCs w:val="32"/>
          <w:shd w:val="clear" w:fill="FFFFFF"/>
          <w:lang w:eastAsia="zh-CN"/>
        </w:rPr>
        <w:t>万元，较上年决算数增加</w:t>
      </w:r>
      <w:r>
        <w:rPr>
          <w:rFonts w:hint="eastAsia" w:ascii="方正仿宋_GBK" w:hAnsi="方正仿宋_GBK" w:eastAsia="方正仿宋_GBK" w:cs="方正仿宋_GBK"/>
          <w:color w:val="auto"/>
          <w:sz w:val="32"/>
          <w:szCs w:val="32"/>
          <w:shd w:val="clear" w:fill="FFFFFF"/>
          <w:lang w:val="en-US"/>
        </w:rPr>
        <w:t>102.91</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14.2%</w:t>
      </w:r>
      <w:r>
        <w:rPr>
          <w:rFonts w:hint="eastAsia" w:ascii="方正仿宋_GBK" w:hAnsi="方正仿宋_GBK" w:eastAsia="方正仿宋_GBK" w:cs="方正仿宋_GBK"/>
          <w:color w:val="auto"/>
          <w:sz w:val="32"/>
          <w:szCs w:val="32"/>
          <w:shd w:val="clear" w:fill="FFFFFF"/>
          <w:lang w:eastAsia="zh-CN"/>
        </w:rPr>
        <w:t>。主要原因一是本年度公用经费标准提高，基本支出增加；二是本年度人口普查工作基本完成，该项工作为阶段性工作，本年度经费用于支付“两员”补助费用，项目支出增加。较年初预算数减少</w:t>
      </w:r>
      <w:r>
        <w:rPr>
          <w:rFonts w:hint="eastAsia" w:ascii="方正仿宋_GBK" w:hAnsi="方正仿宋_GBK" w:eastAsia="方正仿宋_GBK" w:cs="方正仿宋_GBK"/>
          <w:color w:val="auto"/>
          <w:sz w:val="32"/>
          <w:szCs w:val="32"/>
          <w:shd w:val="clear" w:fill="FFFFFF"/>
          <w:lang w:val="en-US"/>
        </w:rPr>
        <w:t>182.65</w:t>
      </w:r>
      <w:r>
        <w:rPr>
          <w:rFonts w:hint="eastAsia" w:ascii="方正仿宋_GBK" w:hAnsi="方正仿宋_GBK" w:eastAsia="方正仿宋_GBK" w:cs="方正仿宋_GBK"/>
          <w:color w:val="auto"/>
          <w:sz w:val="32"/>
          <w:szCs w:val="32"/>
          <w:shd w:val="clear" w:fill="FFFFFF"/>
          <w:lang w:eastAsia="zh-CN"/>
        </w:rPr>
        <w:t>万元，下降</w:t>
      </w:r>
      <w:r>
        <w:rPr>
          <w:rFonts w:hint="eastAsia" w:ascii="方正仿宋_GBK" w:hAnsi="方正仿宋_GBK" w:eastAsia="方正仿宋_GBK" w:cs="方正仿宋_GBK"/>
          <w:color w:val="auto"/>
          <w:sz w:val="32"/>
          <w:szCs w:val="32"/>
          <w:shd w:val="clear" w:fill="FFFFFF"/>
          <w:lang w:val="en-US"/>
        </w:rPr>
        <w:t>18.1%</w:t>
      </w:r>
      <w:r>
        <w:rPr>
          <w:rFonts w:hint="eastAsia" w:ascii="方正仿宋_GBK" w:hAnsi="方正仿宋_GBK" w:eastAsia="方正仿宋_GBK" w:cs="方正仿宋_GBK"/>
          <w:color w:val="auto"/>
          <w:sz w:val="32"/>
          <w:szCs w:val="32"/>
          <w:shd w:val="clear" w:fill="FFFFFF"/>
          <w:lang w:eastAsia="zh-CN"/>
        </w:rPr>
        <w:t>。主要原因是今年年初预算人口普查项目经费</w:t>
      </w:r>
      <w:r>
        <w:rPr>
          <w:rFonts w:hint="eastAsia" w:ascii="方正仿宋_GBK" w:hAnsi="方正仿宋_GBK" w:eastAsia="方正仿宋_GBK" w:cs="方正仿宋_GBK"/>
          <w:color w:val="auto"/>
          <w:sz w:val="32"/>
          <w:szCs w:val="32"/>
          <w:shd w:val="clear" w:fill="FFFFFF"/>
          <w:lang w:val="en-US"/>
        </w:rPr>
        <w:t>400</w:t>
      </w:r>
      <w:r>
        <w:rPr>
          <w:rFonts w:hint="eastAsia" w:ascii="方正仿宋_GBK" w:hAnsi="方正仿宋_GBK" w:eastAsia="方正仿宋_GBK" w:cs="方正仿宋_GBK"/>
          <w:color w:val="auto"/>
          <w:sz w:val="32"/>
          <w:szCs w:val="32"/>
          <w:shd w:val="clear" w:fill="FFFFFF"/>
          <w:lang w:eastAsia="zh-CN"/>
        </w:rPr>
        <w:t>万元，在实际工作中本着厉行节约的原则，该项目经费未使用完，导致决算较年初预算减少。</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b/>
          <w:bCs/>
          <w:color w:val="auto"/>
          <w:sz w:val="32"/>
          <w:szCs w:val="32"/>
          <w:shd w:val="clear" w:fill="FFFFFF"/>
          <w:lang w:val="en-US"/>
        </w:rPr>
        <w:t>3.</w:t>
      </w:r>
      <w:r>
        <w:rPr>
          <w:rFonts w:hint="eastAsia" w:ascii="方正仿宋_GBK" w:hAnsi="方正仿宋_GBK" w:eastAsia="方正仿宋_GBK" w:cs="方正仿宋_GBK"/>
          <w:b/>
          <w:bCs/>
          <w:color w:val="auto"/>
          <w:sz w:val="32"/>
          <w:szCs w:val="32"/>
          <w:shd w:val="clear" w:fill="FFFFFF"/>
          <w:lang w:eastAsia="zh-CN"/>
        </w:rPr>
        <w:t>结转结余情况。</w:t>
      </w: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年度年末一般公共预算财政拨款结转和结余</w:t>
      </w:r>
      <w:r>
        <w:rPr>
          <w:rFonts w:hint="eastAsia" w:ascii="方正仿宋_GBK" w:hAnsi="方正仿宋_GBK" w:eastAsia="方正仿宋_GBK" w:cs="方正仿宋_GBK"/>
          <w:color w:val="auto"/>
          <w:sz w:val="32"/>
          <w:szCs w:val="32"/>
          <w:shd w:val="clear" w:fill="FFFFFF"/>
          <w:lang w:val="en-US"/>
        </w:rPr>
        <w:t>0.00</w:t>
      </w:r>
      <w:r>
        <w:rPr>
          <w:rFonts w:hint="eastAsia" w:ascii="方正仿宋_GBK" w:hAnsi="方正仿宋_GBK" w:eastAsia="方正仿宋_GBK" w:cs="方正仿宋_GBK"/>
          <w:color w:val="auto"/>
          <w:sz w:val="32"/>
          <w:szCs w:val="32"/>
          <w:shd w:val="clear" w:fill="FFFFFF"/>
          <w:lang w:eastAsia="zh-CN"/>
        </w:rPr>
        <w:t>万元，较上年决算数无变化。</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b/>
          <w:bCs/>
          <w:color w:val="auto"/>
          <w:sz w:val="32"/>
          <w:szCs w:val="32"/>
          <w:shd w:val="clear" w:fill="FFFFFF"/>
          <w:lang w:val="en-US"/>
        </w:rPr>
        <w:t>4.</w:t>
      </w:r>
      <w:r>
        <w:rPr>
          <w:rFonts w:hint="eastAsia" w:ascii="方正仿宋_GBK" w:hAnsi="方正仿宋_GBK" w:eastAsia="方正仿宋_GBK" w:cs="方正仿宋_GBK"/>
          <w:b/>
          <w:bCs/>
          <w:color w:val="auto"/>
          <w:sz w:val="32"/>
          <w:szCs w:val="32"/>
          <w:shd w:val="clear" w:fill="FFFFFF"/>
          <w:lang w:eastAsia="zh-CN"/>
        </w:rPr>
        <w:t>比较情况</w:t>
      </w:r>
      <w:r>
        <w:rPr>
          <w:rFonts w:hint="eastAsia" w:ascii="方正仿宋_GBK" w:hAnsi="方正仿宋_GBK" w:eastAsia="方正仿宋_GBK" w:cs="方正仿宋_GBK"/>
          <w:color w:val="auto"/>
          <w:sz w:val="32"/>
          <w:szCs w:val="32"/>
          <w:shd w:val="clear" w:fill="FFFFFF"/>
          <w:lang w:eastAsia="zh-CN"/>
        </w:rPr>
        <w:t>。本部门</w:t>
      </w: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年度一般公共预算财政拨款支出主要用于以下几个方面：</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val="en-US"/>
        </w:rPr>
        <w:t>1</w:t>
      </w:r>
      <w:r>
        <w:rPr>
          <w:rFonts w:hint="eastAsia" w:ascii="方正仿宋_GBK" w:hAnsi="方正仿宋_GBK" w:eastAsia="方正仿宋_GBK" w:cs="方正仿宋_GBK"/>
          <w:color w:val="auto"/>
          <w:sz w:val="32"/>
          <w:szCs w:val="32"/>
          <w:shd w:val="clear" w:fill="FFFFFF"/>
          <w:lang w:eastAsia="zh-CN"/>
        </w:rPr>
        <w:t>）一般公共服务支出</w:t>
      </w:r>
      <w:r>
        <w:rPr>
          <w:rFonts w:hint="eastAsia" w:ascii="方正仿宋_GBK" w:hAnsi="方正仿宋_GBK" w:eastAsia="方正仿宋_GBK" w:cs="方正仿宋_GBK"/>
          <w:color w:val="auto"/>
          <w:sz w:val="32"/>
          <w:szCs w:val="32"/>
          <w:shd w:val="clear" w:fill="FFFFFF"/>
          <w:lang w:val="en-US"/>
        </w:rPr>
        <w:t>636.69</w:t>
      </w:r>
      <w:r>
        <w:rPr>
          <w:rFonts w:hint="eastAsia" w:ascii="方正仿宋_GBK" w:hAnsi="方正仿宋_GBK" w:eastAsia="方正仿宋_GBK" w:cs="方正仿宋_GBK"/>
          <w:color w:val="auto"/>
          <w:sz w:val="32"/>
          <w:szCs w:val="32"/>
          <w:shd w:val="clear" w:fill="FFFFFF"/>
          <w:lang w:eastAsia="zh-CN"/>
        </w:rPr>
        <w:t>万元，占</w:t>
      </w:r>
      <w:r>
        <w:rPr>
          <w:rFonts w:hint="eastAsia" w:ascii="方正仿宋_GBK" w:hAnsi="方正仿宋_GBK" w:eastAsia="方正仿宋_GBK" w:cs="方正仿宋_GBK"/>
          <w:color w:val="auto"/>
          <w:sz w:val="32"/>
          <w:szCs w:val="32"/>
          <w:shd w:val="clear" w:fill="FFFFFF"/>
          <w:lang w:val="en-US"/>
        </w:rPr>
        <w:t>76.8%</w:t>
      </w:r>
      <w:r>
        <w:rPr>
          <w:rFonts w:hint="eastAsia" w:ascii="方正仿宋_GBK" w:hAnsi="方正仿宋_GBK" w:eastAsia="方正仿宋_GBK" w:cs="方正仿宋_GBK"/>
          <w:color w:val="auto"/>
          <w:sz w:val="32"/>
          <w:szCs w:val="32"/>
          <w:shd w:val="clear" w:fill="FFFFFF"/>
          <w:lang w:eastAsia="zh-CN"/>
        </w:rPr>
        <w:t>，较年初预算数减少</w:t>
      </w:r>
      <w:r>
        <w:rPr>
          <w:rFonts w:hint="eastAsia" w:ascii="方正仿宋_GBK" w:hAnsi="方正仿宋_GBK" w:eastAsia="方正仿宋_GBK" w:cs="方正仿宋_GBK"/>
          <w:color w:val="auto"/>
          <w:sz w:val="32"/>
          <w:szCs w:val="32"/>
          <w:shd w:val="clear" w:fill="FFFFFF"/>
          <w:lang w:val="en-US"/>
        </w:rPr>
        <w:t>374.59</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37.0%</w:t>
      </w:r>
      <w:r>
        <w:rPr>
          <w:rFonts w:hint="eastAsia" w:ascii="方正仿宋_GBK" w:hAnsi="方正仿宋_GBK" w:eastAsia="方正仿宋_GBK" w:cs="方正仿宋_GBK"/>
          <w:color w:val="auto"/>
          <w:sz w:val="32"/>
          <w:szCs w:val="32"/>
          <w:shd w:val="clear" w:fill="FFFFFF"/>
          <w:lang w:eastAsia="zh-CN"/>
        </w:rPr>
        <w:t>，主要原因是一是本年度人口普查项目经费未使用完，项目经费较年初预算减少，一般公共服务支出减少。二是年初预算时社会保障与就业支出、卫生健康支出、住房保障支出未生成到相应功能分类科目，而是集中生成到一般公共服务支出科目，导致年初预算较年决算差距较大。</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val="en-US"/>
        </w:rPr>
        <w:t>2</w:t>
      </w:r>
      <w:r>
        <w:rPr>
          <w:rFonts w:hint="eastAsia" w:ascii="方正仿宋_GBK" w:hAnsi="方正仿宋_GBK" w:eastAsia="方正仿宋_GBK" w:cs="方正仿宋_GBK"/>
          <w:color w:val="auto"/>
          <w:sz w:val="32"/>
          <w:szCs w:val="32"/>
          <w:shd w:val="clear" w:fill="FFFFFF"/>
          <w:lang w:eastAsia="zh-CN"/>
        </w:rPr>
        <w:t>）社会保障与就业支出</w:t>
      </w:r>
      <w:r>
        <w:rPr>
          <w:rFonts w:hint="eastAsia" w:ascii="方正仿宋_GBK" w:hAnsi="方正仿宋_GBK" w:eastAsia="方正仿宋_GBK" w:cs="方正仿宋_GBK"/>
          <w:color w:val="auto"/>
          <w:sz w:val="32"/>
          <w:szCs w:val="32"/>
          <w:shd w:val="clear" w:fill="FFFFFF"/>
          <w:lang w:val="en-US"/>
        </w:rPr>
        <w:t>63.61</w:t>
      </w:r>
      <w:r>
        <w:rPr>
          <w:rFonts w:hint="eastAsia" w:ascii="方正仿宋_GBK" w:hAnsi="方正仿宋_GBK" w:eastAsia="方正仿宋_GBK" w:cs="方正仿宋_GBK"/>
          <w:color w:val="auto"/>
          <w:sz w:val="32"/>
          <w:szCs w:val="32"/>
          <w:shd w:val="clear" w:fill="FFFFFF"/>
          <w:lang w:eastAsia="zh-CN"/>
        </w:rPr>
        <w:t>万元，占</w:t>
      </w:r>
      <w:r>
        <w:rPr>
          <w:rFonts w:hint="eastAsia" w:ascii="方正仿宋_GBK" w:hAnsi="方正仿宋_GBK" w:eastAsia="方正仿宋_GBK" w:cs="方正仿宋_GBK"/>
          <w:color w:val="auto"/>
          <w:sz w:val="32"/>
          <w:szCs w:val="32"/>
          <w:shd w:val="clear" w:fill="FFFFFF"/>
          <w:lang w:val="en-US"/>
        </w:rPr>
        <w:t>7.7%</w:t>
      </w:r>
      <w:r>
        <w:rPr>
          <w:rFonts w:hint="eastAsia" w:ascii="方正仿宋_GBK" w:hAnsi="方正仿宋_GBK" w:eastAsia="方正仿宋_GBK" w:cs="方正仿宋_GBK"/>
          <w:color w:val="auto"/>
          <w:sz w:val="32"/>
          <w:szCs w:val="32"/>
          <w:shd w:val="clear" w:fill="FFFFFF"/>
          <w:lang w:eastAsia="zh-CN"/>
        </w:rPr>
        <w:t>，较年初预算数增加</w:t>
      </w:r>
      <w:r>
        <w:rPr>
          <w:rFonts w:hint="eastAsia" w:ascii="方正仿宋_GBK" w:hAnsi="方正仿宋_GBK" w:eastAsia="方正仿宋_GBK" w:cs="方正仿宋_GBK"/>
          <w:color w:val="auto"/>
          <w:sz w:val="32"/>
          <w:szCs w:val="32"/>
          <w:shd w:val="clear" w:fill="FFFFFF"/>
          <w:lang w:val="en-US"/>
        </w:rPr>
        <w:t>63.61</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100%</w:t>
      </w:r>
      <w:r>
        <w:rPr>
          <w:rFonts w:hint="eastAsia" w:ascii="方正仿宋_GBK" w:hAnsi="方正仿宋_GBK" w:eastAsia="方正仿宋_GBK" w:cs="方正仿宋_GBK"/>
          <w:color w:val="auto"/>
          <w:sz w:val="32"/>
          <w:szCs w:val="32"/>
          <w:shd w:val="clear" w:fill="FFFFFF"/>
          <w:lang w:eastAsia="zh-CN"/>
        </w:rPr>
        <w:t>，主要原因是年初预算时社会保障与就业支出未生成，导致社会保障与就业支出决算数比年初预算数增加。</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val="en-US"/>
        </w:rPr>
        <w:t>3</w:t>
      </w:r>
      <w:r>
        <w:rPr>
          <w:rFonts w:hint="eastAsia" w:ascii="方正仿宋_GBK" w:hAnsi="方正仿宋_GBK" w:eastAsia="方正仿宋_GBK" w:cs="方正仿宋_GBK"/>
          <w:color w:val="auto"/>
          <w:sz w:val="32"/>
          <w:szCs w:val="32"/>
          <w:shd w:val="clear" w:fill="FFFFFF"/>
          <w:lang w:eastAsia="zh-CN"/>
        </w:rPr>
        <w:t>）卫生健康支出</w:t>
      </w:r>
      <w:r>
        <w:rPr>
          <w:rFonts w:hint="eastAsia" w:ascii="方正仿宋_GBK" w:hAnsi="方正仿宋_GBK" w:eastAsia="方正仿宋_GBK" w:cs="方正仿宋_GBK"/>
          <w:color w:val="auto"/>
          <w:sz w:val="32"/>
          <w:szCs w:val="32"/>
          <w:shd w:val="clear" w:fill="FFFFFF"/>
          <w:lang w:val="en-US"/>
        </w:rPr>
        <w:t>21.86</w:t>
      </w:r>
      <w:r>
        <w:rPr>
          <w:rFonts w:hint="eastAsia" w:ascii="方正仿宋_GBK" w:hAnsi="方正仿宋_GBK" w:eastAsia="方正仿宋_GBK" w:cs="方正仿宋_GBK"/>
          <w:color w:val="auto"/>
          <w:sz w:val="32"/>
          <w:szCs w:val="32"/>
          <w:shd w:val="clear" w:fill="FFFFFF"/>
          <w:lang w:eastAsia="zh-CN"/>
        </w:rPr>
        <w:t>万元，占</w:t>
      </w:r>
      <w:r>
        <w:rPr>
          <w:rFonts w:hint="eastAsia" w:ascii="方正仿宋_GBK" w:hAnsi="方正仿宋_GBK" w:eastAsia="方正仿宋_GBK" w:cs="方正仿宋_GBK"/>
          <w:color w:val="auto"/>
          <w:sz w:val="32"/>
          <w:szCs w:val="32"/>
          <w:shd w:val="clear" w:fill="FFFFFF"/>
          <w:lang w:val="en-US"/>
        </w:rPr>
        <w:t>2.6%</w:t>
      </w:r>
      <w:r>
        <w:rPr>
          <w:rFonts w:hint="eastAsia" w:ascii="方正仿宋_GBK" w:hAnsi="方正仿宋_GBK" w:eastAsia="方正仿宋_GBK" w:cs="方正仿宋_GBK"/>
          <w:color w:val="auto"/>
          <w:sz w:val="32"/>
          <w:szCs w:val="32"/>
          <w:shd w:val="clear" w:fill="FFFFFF"/>
          <w:lang w:eastAsia="zh-CN"/>
        </w:rPr>
        <w:t>，较年初预算数增加</w:t>
      </w:r>
      <w:r>
        <w:rPr>
          <w:rFonts w:hint="eastAsia" w:ascii="方正仿宋_GBK" w:hAnsi="方正仿宋_GBK" w:eastAsia="方正仿宋_GBK" w:cs="方正仿宋_GBK"/>
          <w:color w:val="auto"/>
          <w:sz w:val="32"/>
          <w:szCs w:val="32"/>
          <w:shd w:val="clear" w:fill="FFFFFF"/>
          <w:lang w:val="en-US"/>
        </w:rPr>
        <w:t>21.86</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100%</w:t>
      </w:r>
      <w:r>
        <w:rPr>
          <w:rFonts w:hint="eastAsia" w:ascii="方正仿宋_GBK" w:hAnsi="方正仿宋_GBK" w:eastAsia="方正仿宋_GBK" w:cs="方正仿宋_GBK"/>
          <w:color w:val="auto"/>
          <w:sz w:val="32"/>
          <w:szCs w:val="32"/>
          <w:shd w:val="clear" w:fill="FFFFFF"/>
          <w:lang w:eastAsia="zh-CN"/>
        </w:rPr>
        <w:t>，主要原因是年初预算时卫生健康支出未生成，导致卫生健康支出决算数比年初预算数增加。</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val="en-US"/>
        </w:rPr>
        <w:t>4</w:t>
      </w:r>
      <w:r>
        <w:rPr>
          <w:rFonts w:hint="eastAsia" w:ascii="方正仿宋_GBK" w:hAnsi="方正仿宋_GBK" w:eastAsia="方正仿宋_GBK" w:cs="方正仿宋_GBK"/>
          <w:color w:val="auto"/>
          <w:sz w:val="32"/>
          <w:szCs w:val="32"/>
          <w:shd w:val="clear" w:fill="FFFFFF"/>
          <w:lang w:eastAsia="zh-CN"/>
        </w:rPr>
        <w:t>）农林水支出</w:t>
      </w:r>
      <w:r>
        <w:rPr>
          <w:rFonts w:hint="eastAsia" w:ascii="方正仿宋_GBK" w:hAnsi="方正仿宋_GBK" w:eastAsia="方正仿宋_GBK" w:cs="方正仿宋_GBK"/>
          <w:color w:val="auto"/>
          <w:sz w:val="32"/>
          <w:szCs w:val="32"/>
          <w:shd w:val="clear" w:fill="FFFFFF"/>
          <w:lang w:val="en-US"/>
        </w:rPr>
        <w:t>76.28</w:t>
      </w:r>
      <w:r>
        <w:rPr>
          <w:rFonts w:hint="eastAsia" w:ascii="方正仿宋_GBK" w:hAnsi="方正仿宋_GBK" w:eastAsia="方正仿宋_GBK" w:cs="方正仿宋_GBK"/>
          <w:color w:val="auto"/>
          <w:sz w:val="32"/>
          <w:szCs w:val="32"/>
          <w:shd w:val="clear" w:fill="FFFFFF"/>
          <w:lang w:eastAsia="zh-CN"/>
        </w:rPr>
        <w:t>万元，占</w:t>
      </w:r>
      <w:r>
        <w:rPr>
          <w:rFonts w:hint="eastAsia" w:ascii="方正仿宋_GBK" w:hAnsi="方正仿宋_GBK" w:eastAsia="方正仿宋_GBK" w:cs="方正仿宋_GBK"/>
          <w:color w:val="auto"/>
          <w:sz w:val="32"/>
          <w:szCs w:val="32"/>
          <w:shd w:val="clear" w:fill="FFFFFF"/>
          <w:lang w:val="en-US"/>
        </w:rPr>
        <w:t>9.2%</w:t>
      </w:r>
      <w:r>
        <w:rPr>
          <w:rFonts w:hint="eastAsia" w:ascii="方正仿宋_GBK" w:hAnsi="方正仿宋_GBK" w:eastAsia="方正仿宋_GBK" w:cs="方正仿宋_GBK"/>
          <w:color w:val="auto"/>
          <w:sz w:val="32"/>
          <w:szCs w:val="32"/>
          <w:shd w:val="clear" w:fill="FFFFFF"/>
          <w:lang w:eastAsia="zh-CN"/>
        </w:rPr>
        <w:t>，较年初预算数增加</w:t>
      </w:r>
      <w:r>
        <w:rPr>
          <w:rFonts w:hint="eastAsia" w:ascii="方正仿宋_GBK" w:hAnsi="方正仿宋_GBK" w:eastAsia="方正仿宋_GBK" w:cs="方正仿宋_GBK"/>
          <w:color w:val="auto"/>
          <w:sz w:val="32"/>
          <w:szCs w:val="32"/>
          <w:shd w:val="clear" w:fill="FFFFFF"/>
          <w:lang w:val="en-US"/>
        </w:rPr>
        <w:t>76.28</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100%</w:t>
      </w:r>
      <w:r>
        <w:rPr>
          <w:rFonts w:hint="eastAsia" w:ascii="方正仿宋_GBK" w:hAnsi="方正仿宋_GBK" w:eastAsia="方正仿宋_GBK" w:cs="方正仿宋_GBK"/>
          <w:color w:val="auto"/>
          <w:sz w:val="32"/>
          <w:szCs w:val="32"/>
          <w:shd w:val="clear" w:fill="FFFFFF"/>
          <w:lang w:eastAsia="zh-CN"/>
        </w:rPr>
        <w:t>，主要原因是年初预算时农林水支出未生成，导致农林水支出决算数比年初预算数增加。</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val="en-US"/>
        </w:rPr>
        <w:t>5</w:t>
      </w:r>
      <w:r>
        <w:rPr>
          <w:rFonts w:hint="eastAsia" w:ascii="方正仿宋_GBK" w:hAnsi="方正仿宋_GBK" w:eastAsia="方正仿宋_GBK" w:cs="方正仿宋_GBK"/>
          <w:color w:val="auto"/>
          <w:sz w:val="32"/>
          <w:szCs w:val="32"/>
          <w:shd w:val="clear" w:fill="FFFFFF"/>
          <w:lang w:eastAsia="zh-CN"/>
        </w:rPr>
        <w:t>）住房保障支出</w:t>
      </w:r>
      <w:r>
        <w:rPr>
          <w:rFonts w:hint="eastAsia" w:ascii="方正仿宋_GBK" w:hAnsi="方正仿宋_GBK" w:eastAsia="方正仿宋_GBK" w:cs="方正仿宋_GBK"/>
          <w:color w:val="auto"/>
          <w:sz w:val="32"/>
          <w:szCs w:val="32"/>
          <w:shd w:val="clear" w:fill="FFFFFF"/>
          <w:lang w:val="en-US"/>
        </w:rPr>
        <w:t>29.93</w:t>
      </w:r>
      <w:r>
        <w:rPr>
          <w:rFonts w:hint="eastAsia" w:ascii="方正仿宋_GBK" w:hAnsi="方正仿宋_GBK" w:eastAsia="方正仿宋_GBK" w:cs="方正仿宋_GBK"/>
          <w:color w:val="auto"/>
          <w:sz w:val="32"/>
          <w:szCs w:val="32"/>
          <w:shd w:val="clear" w:fill="FFFFFF"/>
          <w:lang w:eastAsia="zh-CN"/>
        </w:rPr>
        <w:t>万元，占</w:t>
      </w:r>
      <w:r>
        <w:rPr>
          <w:rFonts w:hint="eastAsia" w:ascii="方正仿宋_GBK" w:hAnsi="方正仿宋_GBK" w:eastAsia="方正仿宋_GBK" w:cs="方正仿宋_GBK"/>
          <w:color w:val="auto"/>
          <w:sz w:val="32"/>
          <w:szCs w:val="32"/>
          <w:shd w:val="clear" w:fill="FFFFFF"/>
          <w:lang w:val="en-US"/>
        </w:rPr>
        <w:t>3.6%</w:t>
      </w:r>
      <w:r>
        <w:rPr>
          <w:rFonts w:hint="eastAsia" w:ascii="方正仿宋_GBK" w:hAnsi="方正仿宋_GBK" w:eastAsia="方正仿宋_GBK" w:cs="方正仿宋_GBK"/>
          <w:color w:val="auto"/>
          <w:sz w:val="32"/>
          <w:szCs w:val="32"/>
          <w:shd w:val="clear" w:fill="FFFFFF"/>
          <w:lang w:eastAsia="zh-CN"/>
        </w:rPr>
        <w:t>，较年初预算数增加</w:t>
      </w:r>
      <w:r>
        <w:rPr>
          <w:rFonts w:hint="eastAsia" w:ascii="方正仿宋_GBK" w:hAnsi="方正仿宋_GBK" w:eastAsia="方正仿宋_GBK" w:cs="方正仿宋_GBK"/>
          <w:color w:val="auto"/>
          <w:sz w:val="32"/>
          <w:szCs w:val="32"/>
          <w:shd w:val="clear" w:fill="FFFFFF"/>
          <w:lang w:val="en-US"/>
        </w:rPr>
        <w:t>29.93</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100%</w:t>
      </w:r>
      <w:r>
        <w:rPr>
          <w:rFonts w:hint="eastAsia" w:ascii="方正仿宋_GBK" w:hAnsi="方正仿宋_GBK" w:eastAsia="方正仿宋_GBK" w:cs="方正仿宋_GBK"/>
          <w:color w:val="auto"/>
          <w:sz w:val="32"/>
          <w:szCs w:val="32"/>
          <w:shd w:val="clear" w:fill="FFFFFF"/>
          <w:lang w:eastAsia="zh-CN"/>
        </w:rPr>
        <w:t>，主要原因是年初预算时住房保障支出未生成，导致住房保障支出决算数比年初预算数增加。</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val="en-US"/>
        </w:rPr>
        <w:t>6</w:t>
      </w:r>
      <w:r>
        <w:rPr>
          <w:rFonts w:hint="eastAsia" w:ascii="方正仿宋_GBK" w:hAnsi="方正仿宋_GBK" w:eastAsia="方正仿宋_GBK" w:cs="方正仿宋_GBK"/>
          <w:color w:val="auto"/>
          <w:sz w:val="32"/>
          <w:szCs w:val="32"/>
          <w:shd w:val="clear" w:fill="FFFFFF"/>
          <w:lang w:eastAsia="zh-CN"/>
        </w:rPr>
        <w:t>）其他支出</w:t>
      </w:r>
      <w:r>
        <w:rPr>
          <w:rFonts w:hint="eastAsia" w:ascii="方正仿宋_GBK" w:hAnsi="方正仿宋_GBK" w:eastAsia="方正仿宋_GBK" w:cs="方正仿宋_GBK"/>
          <w:color w:val="auto"/>
          <w:sz w:val="32"/>
          <w:szCs w:val="32"/>
          <w:shd w:val="clear" w:fill="FFFFFF"/>
          <w:lang w:val="en-US"/>
        </w:rPr>
        <w:t>0.26</w:t>
      </w:r>
      <w:r>
        <w:rPr>
          <w:rFonts w:hint="eastAsia" w:ascii="方正仿宋_GBK" w:hAnsi="方正仿宋_GBK" w:eastAsia="方正仿宋_GBK" w:cs="方正仿宋_GBK"/>
          <w:color w:val="auto"/>
          <w:sz w:val="32"/>
          <w:szCs w:val="32"/>
          <w:shd w:val="clear" w:fill="FFFFFF"/>
          <w:lang w:eastAsia="zh-CN"/>
        </w:rPr>
        <w:t>万元，占</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，较年初预算数增加</w:t>
      </w:r>
      <w:r>
        <w:rPr>
          <w:rFonts w:hint="eastAsia" w:ascii="方正仿宋_GBK" w:hAnsi="方正仿宋_GBK" w:eastAsia="方正仿宋_GBK" w:cs="方正仿宋_GBK"/>
          <w:color w:val="auto"/>
          <w:sz w:val="32"/>
          <w:szCs w:val="32"/>
          <w:shd w:val="clear" w:fill="FFFFFF"/>
          <w:lang w:val="en-US"/>
        </w:rPr>
        <w:t>0.26</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100%</w:t>
      </w:r>
      <w:r>
        <w:rPr>
          <w:rFonts w:hint="eastAsia" w:ascii="方正仿宋_GBK" w:hAnsi="方正仿宋_GBK" w:eastAsia="方正仿宋_GBK" w:cs="方正仿宋_GBK"/>
          <w:color w:val="auto"/>
          <w:sz w:val="32"/>
          <w:szCs w:val="32"/>
          <w:shd w:val="clear" w:fill="FFFFFF"/>
          <w:lang w:eastAsia="zh-CN"/>
        </w:rPr>
        <w:t>，主要原因是年初预算时其他支出未生成，导致其他支出决算数比年初预算数增加。</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Style w:val="5"/>
          <w:rFonts w:hint="eastAsia" w:ascii="方正楷体_GBK" w:hAnsi="宋体" w:eastAsia="方正楷体_GBK" w:cs="宋体"/>
          <w:color w:val="auto"/>
          <w:sz w:val="32"/>
          <w:szCs w:val="32"/>
          <w:shd w:val="clear" w:fill="FFFFFF"/>
          <w:lang w:eastAsia="zh-CN"/>
        </w:rPr>
        <w:t>（</w:t>
      </w:r>
      <w:r>
        <w:rPr>
          <w:rFonts w:hint="eastAsia" w:ascii="方正楷体_GBK" w:hAnsi="方正楷体_GBK" w:eastAsia="方正楷体_GBK" w:cs="方正楷体_GBK"/>
          <w:b/>
          <w:bCs/>
          <w:color w:val="auto"/>
          <w:sz w:val="32"/>
          <w:szCs w:val="32"/>
          <w:shd w:val="clear" w:fill="FFFFFF"/>
          <w:lang w:eastAsia="zh-CN"/>
        </w:rPr>
        <w:t>四）一般公共预算财政拨款基本支出决算情况说明</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年度一般公共财政拨款基本支出</w:t>
      </w:r>
      <w:r>
        <w:rPr>
          <w:rFonts w:hint="eastAsia" w:ascii="方正仿宋_GBK" w:hAnsi="方正仿宋_GBK" w:eastAsia="方正仿宋_GBK" w:cs="方正仿宋_GBK"/>
          <w:color w:val="auto"/>
          <w:sz w:val="32"/>
          <w:szCs w:val="32"/>
          <w:shd w:val="clear" w:fill="FFFFFF"/>
          <w:lang w:val="en-US"/>
        </w:rPr>
        <w:t>575.46</w:t>
      </w:r>
      <w:r>
        <w:rPr>
          <w:rFonts w:hint="eastAsia" w:ascii="方正仿宋_GBK" w:hAnsi="方正仿宋_GBK" w:eastAsia="方正仿宋_GBK" w:cs="方正仿宋_GBK"/>
          <w:color w:val="auto"/>
          <w:sz w:val="32"/>
          <w:szCs w:val="32"/>
          <w:shd w:val="clear" w:fill="FFFFFF"/>
          <w:lang w:eastAsia="zh-CN"/>
        </w:rPr>
        <w:t>万元。其中：人员经费</w:t>
      </w:r>
      <w:r>
        <w:rPr>
          <w:rFonts w:hint="eastAsia" w:ascii="方正仿宋_GBK" w:hAnsi="方正仿宋_GBK" w:eastAsia="方正仿宋_GBK" w:cs="方正仿宋_GBK"/>
          <w:color w:val="auto"/>
          <w:sz w:val="32"/>
          <w:szCs w:val="32"/>
          <w:shd w:val="clear" w:fill="FFFFFF"/>
          <w:lang w:val="en-US"/>
        </w:rPr>
        <w:t>451.89</w:t>
      </w:r>
      <w:r>
        <w:rPr>
          <w:rFonts w:hint="eastAsia" w:ascii="方正仿宋_GBK" w:hAnsi="方正仿宋_GBK" w:eastAsia="方正仿宋_GBK" w:cs="方正仿宋_GBK"/>
          <w:color w:val="auto"/>
          <w:sz w:val="32"/>
          <w:szCs w:val="32"/>
          <w:shd w:val="clear" w:fill="FFFFFF"/>
          <w:lang w:eastAsia="zh-CN"/>
        </w:rPr>
        <w:t>万元，较上年决算数增加</w:t>
      </w:r>
      <w:r>
        <w:rPr>
          <w:rFonts w:hint="eastAsia" w:ascii="方正仿宋_GBK" w:hAnsi="方正仿宋_GBK" w:eastAsia="方正仿宋_GBK" w:cs="方正仿宋_GBK"/>
          <w:color w:val="auto"/>
          <w:sz w:val="32"/>
          <w:szCs w:val="32"/>
          <w:shd w:val="clear" w:fill="FFFFFF"/>
          <w:lang w:val="en-US"/>
        </w:rPr>
        <w:t>6.38</w:t>
      </w:r>
      <w:r>
        <w:rPr>
          <w:rFonts w:hint="eastAsia" w:ascii="方正仿宋_GBK" w:hAnsi="方正仿宋_GBK" w:eastAsia="方正仿宋_GBK" w:cs="方正仿宋_GBK"/>
          <w:color w:val="auto"/>
          <w:sz w:val="32"/>
          <w:szCs w:val="32"/>
          <w:shd w:val="clear" w:fill="FFFFFF"/>
          <w:lang w:eastAsia="zh-CN"/>
        </w:rPr>
        <w:t>万 元，增长</w:t>
      </w:r>
      <w:r>
        <w:rPr>
          <w:rFonts w:hint="eastAsia" w:ascii="方正仿宋_GBK" w:hAnsi="方正仿宋_GBK" w:eastAsia="方正仿宋_GBK" w:cs="方正仿宋_GBK"/>
          <w:color w:val="auto"/>
          <w:sz w:val="32"/>
          <w:szCs w:val="32"/>
          <w:shd w:val="clear" w:fill="FFFFFF"/>
          <w:lang w:val="en-US"/>
        </w:rPr>
        <w:t>1.4%</w:t>
      </w:r>
      <w:r>
        <w:rPr>
          <w:rFonts w:hint="eastAsia" w:ascii="方正仿宋_GBK" w:hAnsi="方正仿宋_GBK" w:eastAsia="方正仿宋_GBK" w:cs="方正仿宋_GBK"/>
          <w:color w:val="auto"/>
          <w:sz w:val="32"/>
          <w:szCs w:val="32"/>
          <w:shd w:val="clear" w:fill="FFFFFF"/>
          <w:lang w:eastAsia="zh-CN"/>
        </w:rPr>
        <w:t>，主要原因是本年度部门新进</w:t>
      </w:r>
      <w:r>
        <w:rPr>
          <w:rFonts w:hint="eastAsia" w:ascii="方正仿宋_GBK" w:hAnsi="方正仿宋_GBK" w:eastAsia="方正仿宋_GBK" w:cs="方正仿宋_GBK"/>
          <w:color w:val="auto"/>
          <w:sz w:val="32"/>
          <w:szCs w:val="32"/>
          <w:shd w:val="clear" w:fill="FFFFFF"/>
          <w:lang w:val="en-US"/>
        </w:rPr>
        <w:t>1</w:t>
      </w:r>
      <w:r>
        <w:rPr>
          <w:rFonts w:hint="eastAsia" w:ascii="方正仿宋_GBK" w:hAnsi="方正仿宋_GBK" w:eastAsia="方正仿宋_GBK" w:cs="方正仿宋_GBK"/>
          <w:color w:val="auto"/>
          <w:sz w:val="32"/>
          <w:szCs w:val="32"/>
          <w:shd w:val="clear" w:fill="FFFFFF"/>
          <w:lang w:eastAsia="zh-CN"/>
        </w:rPr>
        <w:t>名职工，人员增加，人员经费相应增加。人员经费用途主要包括基本工资、津贴补贴、奖金、绩效工资、社会保障缴费、住房公积金、公务员医疗补助缴费、其他工资福利支出、生活补助以及奖励金等。公用经费</w:t>
      </w:r>
      <w:r>
        <w:rPr>
          <w:rFonts w:hint="eastAsia" w:ascii="方正仿宋_GBK" w:hAnsi="方正仿宋_GBK" w:eastAsia="方正仿宋_GBK" w:cs="方正仿宋_GBK"/>
          <w:color w:val="auto"/>
          <w:sz w:val="32"/>
          <w:szCs w:val="32"/>
          <w:shd w:val="clear" w:fill="FFFFFF"/>
          <w:lang w:val="en-US"/>
        </w:rPr>
        <w:t>123.56</w:t>
      </w:r>
      <w:r>
        <w:rPr>
          <w:rFonts w:hint="eastAsia" w:ascii="方正仿宋_GBK" w:hAnsi="方正仿宋_GBK" w:eastAsia="方正仿宋_GBK" w:cs="方正仿宋_GBK"/>
          <w:color w:val="auto"/>
          <w:sz w:val="32"/>
          <w:szCs w:val="32"/>
          <w:shd w:val="clear" w:fill="FFFFFF"/>
          <w:lang w:eastAsia="zh-CN"/>
        </w:rPr>
        <w:t>万元，较上年决算数增加</w:t>
      </w:r>
      <w:r>
        <w:rPr>
          <w:rFonts w:hint="eastAsia" w:ascii="方正仿宋_GBK" w:hAnsi="方正仿宋_GBK" w:eastAsia="方正仿宋_GBK" w:cs="方正仿宋_GBK"/>
          <w:color w:val="auto"/>
          <w:sz w:val="32"/>
          <w:szCs w:val="32"/>
          <w:shd w:val="clear" w:fill="FFFFFF"/>
          <w:lang w:val="en-US"/>
        </w:rPr>
        <w:t>78.68</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175.3%</w:t>
      </w:r>
      <w:r>
        <w:rPr>
          <w:rFonts w:hint="eastAsia" w:ascii="方正仿宋_GBK" w:hAnsi="方正仿宋_GBK" w:eastAsia="方正仿宋_GBK" w:cs="方正仿宋_GBK"/>
          <w:color w:val="auto"/>
          <w:sz w:val="32"/>
          <w:szCs w:val="32"/>
          <w:shd w:val="clear" w:fill="FFFFFF"/>
          <w:lang w:eastAsia="zh-CN"/>
        </w:rPr>
        <w:t>，主要原因是本年度公用经费标准提高，故公用经费决算数增加。公用经费用途主要包括办公费、印刷费、电费、邮电费、物业管理费、差旅费、租赁费、会议费、公务接待费、工会经费、公务用车运行维护费、其他交通费用、其他商品和服务支出。</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（五）政府性基金预算收支决算情况说明</w:t>
      </w:r>
    </w:p>
    <w:p>
      <w:pPr>
        <w:pStyle w:val="2"/>
        <w:shd w:val="clear" w:fill="FFFFFF"/>
        <w:adjustRightInd w:val="0"/>
        <w:snapToGrid w:val="0"/>
        <w:spacing w:before="0" w:beforeAutospacing="0" w:after="0" w:afterAutospacing="0" w:line="600" w:lineRule="exact"/>
        <w:ind w:left="0" w:right="0" w:firstLine="640" w:firstLineChars="200"/>
        <w:jc w:val="both"/>
      </w:pPr>
      <w:r>
        <w:rPr>
          <w:rFonts w:ascii="方正仿宋_GBK" w:eastAsia="方正仿宋_GBK"/>
          <w:color w:val="auto"/>
          <w:sz w:val="32"/>
          <w:szCs w:val="32"/>
          <w:shd w:val="clear" w:fill="FFFFFF"/>
          <w:lang w:val="en-US"/>
        </w:rPr>
        <w:t> </w:t>
      </w:r>
      <w:r>
        <w:rPr>
          <w:rFonts w:hint="eastAsia" w:ascii="方正仿宋_GBK" w:hAnsi="方正仿宋_GBK" w:eastAsia="方正仿宋_GBK" w:cs="方正仿宋_GBK"/>
          <w:color w:val="auto"/>
          <w:sz w:val="32"/>
          <w:szCs w:val="32"/>
          <w:shd w:val="clear" w:fill="FFFFFF"/>
          <w:lang w:val="en-US"/>
        </w:rPr>
        <w:t xml:space="preserve"> </w:t>
      </w:r>
      <w:r>
        <w:rPr>
          <w:rFonts w:hint="eastAsia" w:ascii="方正仿宋_GBK" w:hAnsi="方正仿宋_GBK" w:eastAsia="方正仿宋_GBK" w:cs="方正仿宋_GBK"/>
          <w:color w:val="auto"/>
          <w:sz w:val="32"/>
          <w:szCs w:val="32"/>
          <w:shd w:val="clear" w:fill="FFFFFF"/>
          <w:lang w:eastAsia="zh-CN"/>
        </w:rPr>
        <w:t>本部门</w:t>
      </w: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年度无政府性基金预算财政拨款收支。</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（六）国有资本经营预算财政拨款支出决算情况说明</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eastAsia="zh-CN"/>
        </w:rPr>
        <w:t>本部门</w:t>
      </w: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年度无国有资本经营预算财政拨款收支。</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黑体_GBK" w:hAnsi="方正黑体_GBK" w:eastAsia="方正黑体_GBK" w:cs="方正黑体_GBK"/>
          <w:b/>
          <w:bCs w:val="0"/>
          <w:sz w:val="32"/>
          <w:szCs w:val="32"/>
          <w:shd w:val="clear" w:fill="FFFFFF"/>
          <w:lang w:val="en-US"/>
        </w:rPr>
      </w:pPr>
      <w:r>
        <w:rPr>
          <w:rStyle w:val="5"/>
          <w:rFonts w:hint="eastAsia" w:ascii="方正黑体_GBK" w:hAnsi="宋体" w:eastAsia="方正黑体_GBK" w:cs="宋体"/>
          <w:b w:val="0"/>
          <w:bCs/>
          <w:color w:val="auto"/>
          <w:sz w:val="32"/>
          <w:szCs w:val="32"/>
          <w:shd w:val="clear" w:fill="FFFFFF"/>
          <w:lang w:eastAsia="zh-CN"/>
        </w:rPr>
        <w:t>三、“三公”经费情况说明</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Style w:val="5"/>
          <w:rFonts w:hint="eastAsia" w:ascii="方正楷体_GBK" w:hAnsi="宋体" w:eastAsia="方正楷体_GBK" w:cs="宋体"/>
          <w:color w:val="auto"/>
          <w:sz w:val="32"/>
          <w:szCs w:val="32"/>
          <w:shd w:val="clear" w:fill="FFFFFF"/>
          <w:lang w:eastAsia="zh-CN"/>
        </w:rPr>
        <w:t>（一）“三公”经费支出总体情况说明</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color w:val="FF0000"/>
          <w:sz w:val="32"/>
          <w:szCs w:val="32"/>
          <w:shd w:val="clear" w:fill="FFFFFF"/>
          <w:lang w:val="en-US"/>
        </w:rPr>
      </w:pP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年度“三公”经费支出共计</w:t>
      </w:r>
      <w:r>
        <w:rPr>
          <w:rFonts w:hint="eastAsia" w:ascii="方正仿宋_GBK" w:hAnsi="方正仿宋_GBK" w:eastAsia="方正仿宋_GBK" w:cs="方正仿宋_GBK"/>
          <w:color w:val="auto"/>
          <w:sz w:val="32"/>
          <w:szCs w:val="32"/>
          <w:shd w:val="clear" w:fill="FFFFFF"/>
          <w:lang w:val="en-US"/>
        </w:rPr>
        <w:t>6.57</w:t>
      </w:r>
      <w:r>
        <w:rPr>
          <w:rFonts w:hint="eastAsia" w:ascii="方正仿宋_GBK" w:hAnsi="方正仿宋_GBK" w:eastAsia="方正仿宋_GBK" w:cs="方正仿宋_GBK"/>
          <w:color w:val="auto"/>
          <w:sz w:val="32"/>
          <w:szCs w:val="32"/>
          <w:shd w:val="clear" w:fill="FFFFFF"/>
          <w:lang w:eastAsia="zh-CN"/>
        </w:rPr>
        <w:t>万元，较年初预算数增加</w:t>
      </w:r>
      <w:r>
        <w:rPr>
          <w:rFonts w:hint="eastAsia" w:ascii="方正仿宋_GBK" w:hAnsi="方正仿宋_GBK" w:eastAsia="方正仿宋_GBK" w:cs="方正仿宋_GBK"/>
          <w:color w:val="auto"/>
          <w:sz w:val="32"/>
          <w:szCs w:val="32"/>
          <w:shd w:val="clear" w:fill="FFFFFF"/>
          <w:lang w:val="en-US"/>
        </w:rPr>
        <w:t>1.82</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38.3%</w:t>
      </w:r>
      <w:r>
        <w:rPr>
          <w:rFonts w:hint="eastAsia" w:ascii="方正仿宋_GBK" w:hAnsi="方正仿宋_GBK" w:eastAsia="方正仿宋_GBK" w:cs="方正仿宋_GBK"/>
          <w:color w:val="auto"/>
          <w:sz w:val="32"/>
          <w:szCs w:val="32"/>
          <w:shd w:val="clear" w:fill="FFFFFF"/>
          <w:lang w:eastAsia="zh-CN"/>
        </w:rPr>
        <w:t>，主要原因是今年年中期间，国家调查队重庆总队新增劳动力调查和脱贫成效跟踪监测两项工作，接待市级部门工作指导次数及下乡开展调查次数大幅增加，导致公务车运行维护及公务接待费用增加，三公经费支出增加。较上年支出数增加</w:t>
      </w:r>
      <w:r>
        <w:rPr>
          <w:rFonts w:hint="eastAsia" w:ascii="方正仿宋_GBK" w:hAnsi="方正仿宋_GBK" w:eastAsia="方正仿宋_GBK" w:cs="方正仿宋_GBK"/>
          <w:color w:val="auto"/>
          <w:sz w:val="32"/>
          <w:szCs w:val="32"/>
          <w:shd w:val="clear" w:fill="FFFFFF"/>
          <w:lang w:val="en-US"/>
        </w:rPr>
        <w:t>4.30</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189.4%</w:t>
      </w:r>
      <w:r>
        <w:rPr>
          <w:rFonts w:hint="eastAsia" w:ascii="方正仿宋_GBK" w:hAnsi="方正仿宋_GBK" w:eastAsia="方正仿宋_GBK" w:cs="方正仿宋_GBK"/>
          <w:color w:val="auto"/>
          <w:sz w:val="32"/>
          <w:szCs w:val="32"/>
          <w:shd w:val="clear" w:fill="FFFFFF"/>
          <w:lang w:eastAsia="zh-CN"/>
        </w:rPr>
        <w:t>，主要原因是今年新增劳动力调查和脱贫成效跟踪监测两项工作，接待市级部门工作指导次数及下乡开展调查次数大幅增加，导致公务车运行维护及公务接待费用增加，三公经费支出增加。</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Style w:val="5"/>
          <w:rFonts w:hint="eastAsia" w:ascii="方正楷体_GBK" w:hAnsi="宋体" w:eastAsia="方正楷体_GBK" w:cs="宋体"/>
          <w:color w:val="auto"/>
          <w:sz w:val="32"/>
          <w:szCs w:val="32"/>
          <w:shd w:val="clear" w:fill="FFFFFF"/>
          <w:lang w:eastAsia="zh-CN"/>
        </w:rPr>
        <w:t>（二）“三公”经费分项支出情况</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年度本部门因公出国（境）费用</w:t>
      </w:r>
      <w:r>
        <w:rPr>
          <w:rFonts w:hint="eastAsia" w:ascii="方正仿宋_GBK" w:hAnsi="方正仿宋_GBK" w:eastAsia="方正仿宋_GBK" w:cs="方正仿宋_GBK"/>
          <w:color w:val="auto"/>
          <w:sz w:val="32"/>
          <w:szCs w:val="32"/>
          <w:shd w:val="clear" w:fill="FFFFFF"/>
          <w:lang w:val="en-US"/>
        </w:rPr>
        <w:t>0.00</w:t>
      </w:r>
      <w:r>
        <w:rPr>
          <w:rFonts w:hint="eastAsia" w:ascii="方正仿宋_GBK" w:hAnsi="方正仿宋_GBK" w:eastAsia="方正仿宋_GBK" w:cs="方正仿宋_GBK"/>
          <w:color w:val="auto"/>
          <w:sz w:val="32"/>
          <w:szCs w:val="32"/>
          <w:shd w:val="clear" w:fill="FFFFFF"/>
          <w:lang w:eastAsia="zh-CN"/>
        </w:rPr>
        <w:t>万元，本单位</w:t>
      </w: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年未发生因公出国（境）支出。</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年度本部门公务车购置费</w:t>
      </w:r>
      <w:r>
        <w:rPr>
          <w:rFonts w:hint="eastAsia" w:ascii="方正仿宋_GBK" w:hAnsi="方正仿宋_GBK" w:eastAsia="方正仿宋_GBK" w:cs="方正仿宋_GBK"/>
          <w:color w:val="auto"/>
          <w:sz w:val="32"/>
          <w:szCs w:val="32"/>
          <w:shd w:val="clear" w:fill="FFFFFF"/>
          <w:lang w:val="en-US"/>
        </w:rPr>
        <w:t>0.00</w:t>
      </w:r>
      <w:r>
        <w:rPr>
          <w:rFonts w:hint="eastAsia" w:ascii="方正仿宋_GBK" w:hAnsi="方正仿宋_GBK" w:eastAsia="方正仿宋_GBK" w:cs="方正仿宋_GBK"/>
          <w:color w:val="auto"/>
          <w:sz w:val="32"/>
          <w:szCs w:val="32"/>
          <w:shd w:val="clear" w:fill="FFFFFF"/>
          <w:lang w:eastAsia="zh-CN"/>
        </w:rPr>
        <w:t>万元，本单位</w:t>
      </w: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年未发生公务车购置支出。</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eastAsia="zh-CN"/>
        </w:rPr>
        <w:t>公务车运行维护费</w:t>
      </w:r>
      <w:r>
        <w:rPr>
          <w:rFonts w:hint="eastAsia" w:ascii="方正仿宋_GBK" w:hAnsi="方正仿宋_GBK" w:eastAsia="方正仿宋_GBK" w:cs="方正仿宋_GBK"/>
          <w:color w:val="auto"/>
          <w:sz w:val="32"/>
          <w:szCs w:val="32"/>
          <w:shd w:val="clear" w:fill="FFFFFF"/>
          <w:lang w:val="en-US"/>
        </w:rPr>
        <w:t>4.47</w:t>
      </w:r>
      <w:r>
        <w:rPr>
          <w:rFonts w:hint="eastAsia" w:ascii="方正仿宋_GBK" w:hAnsi="方正仿宋_GBK" w:eastAsia="方正仿宋_GBK" w:cs="方正仿宋_GBK"/>
          <w:color w:val="auto"/>
          <w:sz w:val="32"/>
          <w:szCs w:val="32"/>
          <w:shd w:val="clear" w:fill="FFFFFF"/>
          <w:lang w:eastAsia="zh-CN"/>
        </w:rPr>
        <w:t>万元，主要用于市内因公出行、县内下乡检查统计业务等工作所需车辆的燃料费、维修费、过桥过路费、保险费等。费用支出较年初预算数增加</w:t>
      </w:r>
      <w:r>
        <w:rPr>
          <w:rFonts w:hint="eastAsia" w:ascii="方正仿宋_GBK" w:hAnsi="方正仿宋_GBK" w:eastAsia="方正仿宋_GBK" w:cs="方正仿宋_GBK"/>
          <w:color w:val="auto"/>
          <w:sz w:val="32"/>
          <w:szCs w:val="32"/>
          <w:shd w:val="clear" w:fill="FFFFFF"/>
          <w:lang w:val="en-US"/>
        </w:rPr>
        <w:t>2.02</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82.4%</w:t>
      </w:r>
      <w:r>
        <w:rPr>
          <w:rFonts w:hint="eastAsia" w:ascii="方正仿宋_GBK" w:hAnsi="方正仿宋_GBK" w:eastAsia="方正仿宋_GBK" w:cs="方正仿宋_GBK"/>
          <w:color w:val="auto"/>
          <w:sz w:val="32"/>
          <w:szCs w:val="32"/>
          <w:shd w:val="clear" w:fill="FFFFFF"/>
          <w:lang w:eastAsia="zh-CN"/>
        </w:rPr>
        <w:t>，今年年中期间，国家调查队重庆总队新增劳动力调查和脱贫成效跟踪监测两项工作，下乡开展调查次数大幅增加，导致公务车运行维护费用增加。较上年支出数增加</w:t>
      </w:r>
      <w:r>
        <w:rPr>
          <w:rFonts w:hint="eastAsia" w:ascii="方正仿宋_GBK" w:hAnsi="方正仿宋_GBK" w:eastAsia="方正仿宋_GBK" w:cs="方正仿宋_GBK"/>
          <w:color w:val="auto"/>
          <w:sz w:val="32"/>
          <w:szCs w:val="32"/>
          <w:shd w:val="clear" w:fill="FFFFFF"/>
          <w:lang w:val="en-US"/>
        </w:rPr>
        <w:t>2.25</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101.4%</w:t>
      </w:r>
      <w:r>
        <w:rPr>
          <w:rFonts w:hint="eastAsia" w:ascii="方正仿宋_GBK" w:hAnsi="方正仿宋_GBK" w:eastAsia="方正仿宋_GBK" w:cs="方正仿宋_GBK"/>
          <w:color w:val="auto"/>
          <w:sz w:val="32"/>
          <w:szCs w:val="32"/>
          <w:shd w:val="clear" w:fill="FFFFFF"/>
          <w:lang w:eastAsia="zh-CN"/>
        </w:rPr>
        <w:t>，主要原因今年新增劳动力调查和脱贫成效跟踪监测两项工作，下乡开展调查次数大幅增加，导致公务车运行维护费用增加。</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eastAsia="zh-CN"/>
        </w:rPr>
        <w:t>公务接待费</w:t>
      </w:r>
      <w:r>
        <w:rPr>
          <w:rFonts w:hint="eastAsia" w:ascii="方正仿宋_GBK" w:hAnsi="方正仿宋_GBK" w:eastAsia="方正仿宋_GBK" w:cs="方正仿宋_GBK"/>
          <w:color w:val="auto"/>
          <w:sz w:val="32"/>
          <w:szCs w:val="32"/>
          <w:shd w:val="clear" w:fill="FFFFFF"/>
          <w:lang w:val="en-US"/>
        </w:rPr>
        <w:t>2.10</w:t>
      </w:r>
      <w:r>
        <w:rPr>
          <w:rFonts w:hint="eastAsia" w:ascii="方正仿宋_GBK" w:hAnsi="方正仿宋_GBK" w:eastAsia="方正仿宋_GBK" w:cs="方正仿宋_GBK"/>
          <w:color w:val="auto"/>
          <w:sz w:val="32"/>
          <w:szCs w:val="32"/>
          <w:shd w:val="clear" w:fill="FFFFFF"/>
          <w:lang w:eastAsia="zh-CN"/>
        </w:rPr>
        <w:t>万元，主要用于接待市局、调查总队到我县开展调研、检查工作。费用支出较年初预算数减少</w:t>
      </w:r>
      <w:r>
        <w:rPr>
          <w:rFonts w:hint="eastAsia" w:ascii="方正仿宋_GBK" w:hAnsi="方正仿宋_GBK" w:eastAsia="方正仿宋_GBK" w:cs="方正仿宋_GBK"/>
          <w:color w:val="auto"/>
          <w:sz w:val="32"/>
          <w:szCs w:val="32"/>
          <w:shd w:val="clear" w:fill="FFFFFF"/>
          <w:lang w:val="en-US"/>
        </w:rPr>
        <w:t>0.20</w:t>
      </w:r>
      <w:r>
        <w:rPr>
          <w:rFonts w:hint="eastAsia" w:ascii="方正仿宋_GBK" w:hAnsi="方正仿宋_GBK" w:eastAsia="方正仿宋_GBK" w:cs="方正仿宋_GBK"/>
          <w:color w:val="auto"/>
          <w:sz w:val="32"/>
          <w:szCs w:val="32"/>
          <w:shd w:val="clear" w:fill="FFFFFF"/>
          <w:lang w:eastAsia="zh-CN"/>
        </w:rPr>
        <w:t>万元，下降</w:t>
      </w:r>
      <w:r>
        <w:rPr>
          <w:rFonts w:hint="eastAsia" w:ascii="方正仿宋_GBK" w:hAnsi="方正仿宋_GBK" w:eastAsia="方正仿宋_GBK" w:cs="方正仿宋_GBK"/>
          <w:color w:val="auto"/>
          <w:sz w:val="32"/>
          <w:szCs w:val="32"/>
          <w:shd w:val="clear" w:fill="FFFFFF"/>
          <w:lang w:val="en-US"/>
        </w:rPr>
        <w:t>8.7%</w:t>
      </w:r>
      <w:r>
        <w:rPr>
          <w:rFonts w:hint="eastAsia" w:ascii="方正仿宋_GBK" w:hAnsi="方正仿宋_GBK" w:eastAsia="方正仿宋_GBK" w:cs="方正仿宋_GBK"/>
          <w:color w:val="auto"/>
          <w:sz w:val="32"/>
          <w:szCs w:val="32"/>
          <w:shd w:val="clear" w:fill="FFFFFF"/>
          <w:lang w:eastAsia="zh-CN"/>
        </w:rPr>
        <w:t>，主要原因是本年度根据年度工作安排，科学合理预算上级部门检查工作次数，本着厉行节约的原则，本年度公务接待费用较年初预算略有下降。较上年支出数增加</w:t>
      </w:r>
      <w:r>
        <w:rPr>
          <w:rFonts w:hint="eastAsia" w:ascii="方正仿宋_GBK" w:hAnsi="方正仿宋_GBK" w:eastAsia="方正仿宋_GBK" w:cs="方正仿宋_GBK"/>
          <w:color w:val="auto"/>
          <w:sz w:val="32"/>
          <w:szCs w:val="32"/>
          <w:shd w:val="clear" w:fill="FFFFFF"/>
          <w:lang w:val="en-US"/>
        </w:rPr>
        <w:t>2.04</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3400%</w:t>
      </w:r>
      <w:r>
        <w:rPr>
          <w:rFonts w:hint="eastAsia" w:ascii="方正仿宋_GBK" w:hAnsi="方正仿宋_GBK" w:eastAsia="方正仿宋_GBK" w:cs="方正仿宋_GBK"/>
          <w:color w:val="auto"/>
          <w:sz w:val="32"/>
          <w:szCs w:val="32"/>
          <w:shd w:val="clear" w:fill="FFFFFF"/>
          <w:lang w:eastAsia="zh-CN"/>
        </w:rPr>
        <w:t>，今年新增劳动力调查和脱贫成效跟踪监测两项工作，接待市级部门工作指导次数增加，导致公务接待费用增加。</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Style w:val="5"/>
          <w:rFonts w:hint="eastAsia" w:ascii="方正楷体_GBK" w:hAnsi="宋体" w:eastAsia="方正楷体_GBK" w:cs="宋体"/>
          <w:color w:val="auto"/>
          <w:sz w:val="32"/>
          <w:szCs w:val="32"/>
          <w:shd w:val="clear" w:fill="FFFFFF"/>
          <w:lang w:eastAsia="zh-CN"/>
        </w:rPr>
        <w:t>（三）“三公”经费实物量情况</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年度本部门因公出国（境）共计</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个团组，</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人；公务用车购置</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辆，公务车保有量为</w:t>
      </w:r>
      <w:r>
        <w:rPr>
          <w:rFonts w:hint="eastAsia" w:ascii="方正仿宋_GBK" w:hAnsi="方正仿宋_GBK" w:eastAsia="方正仿宋_GBK" w:cs="方正仿宋_GBK"/>
          <w:color w:val="auto"/>
          <w:sz w:val="32"/>
          <w:szCs w:val="32"/>
          <w:shd w:val="clear" w:fill="FFFFFF"/>
          <w:lang w:val="en-US"/>
        </w:rPr>
        <w:t>1</w:t>
      </w:r>
      <w:r>
        <w:rPr>
          <w:rFonts w:hint="eastAsia" w:ascii="方正仿宋_GBK" w:hAnsi="方正仿宋_GBK" w:eastAsia="方正仿宋_GBK" w:cs="方正仿宋_GBK"/>
          <w:color w:val="auto"/>
          <w:sz w:val="32"/>
          <w:szCs w:val="32"/>
          <w:shd w:val="clear" w:fill="FFFFFF"/>
          <w:lang w:eastAsia="zh-CN"/>
        </w:rPr>
        <w:t>辆；国内公务接待</w:t>
      </w:r>
      <w:r>
        <w:rPr>
          <w:rFonts w:hint="eastAsia" w:ascii="方正仿宋_GBK" w:hAnsi="方正仿宋_GBK" w:eastAsia="方正仿宋_GBK" w:cs="方正仿宋_GBK"/>
          <w:color w:val="auto"/>
          <w:sz w:val="32"/>
          <w:szCs w:val="32"/>
          <w:shd w:val="clear" w:fill="FFFFFF"/>
          <w:lang w:val="en-US"/>
        </w:rPr>
        <w:t>38</w:t>
      </w:r>
      <w:r>
        <w:rPr>
          <w:rFonts w:hint="eastAsia" w:ascii="方正仿宋_GBK" w:hAnsi="方正仿宋_GBK" w:eastAsia="方正仿宋_GBK" w:cs="方正仿宋_GBK"/>
          <w:color w:val="auto"/>
          <w:sz w:val="32"/>
          <w:szCs w:val="32"/>
          <w:shd w:val="clear" w:fill="FFFFFF"/>
          <w:lang w:eastAsia="zh-CN"/>
        </w:rPr>
        <w:t>批次</w:t>
      </w:r>
      <w:r>
        <w:rPr>
          <w:rFonts w:hint="eastAsia" w:ascii="方正仿宋_GBK" w:hAnsi="方正仿宋_GBK" w:eastAsia="方正仿宋_GBK" w:cs="方正仿宋_GBK"/>
          <w:color w:val="auto"/>
          <w:sz w:val="32"/>
          <w:szCs w:val="32"/>
          <w:shd w:val="clear" w:fill="FFFFFF"/>
          <w:lang w:val="en-US"/>
        </w:rPr>
        <w:t>210</w:t>
      </w:r>
      <w:r>
        <w:rPr>
          <w:rFonts w:hint="eastAsia" w:ascii="方正仿宋_GBK" w:hAnsi="方正仿宋_GBK" w:eastAsia="方正仿宋_GBK" w:cs="方正仿宋_GBK"/>
          <w:color w:val="auto"/>
          <w:sz w:val="32"/>
          <w:szCs w:val="32"/>
          <w:shd w:val="clear" w:fill="FFFFFF"/>
          <w:lang w:eastAsia="zh-CN"/>
        </w:rPr>
        <w:t>人，其中：国内外 事接待</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批次，</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人；国（境）外公务接待</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批次，</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人。</w:t>
      </w: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年本部门人均接待费</w:t>
      </w:r>
      <w:r>
        <w:rPr>
          <w:rFonts w:hint="eastAsia" w:ascii="方正仿宋_GBK" w:hAnsi="方正仿宋_GBK" w:eastAsia="方正仿宋_GBK" w:cs="方正仿宋_GBK"/>
          <w:color w:val="auto"/>
          <w:sz w:val="32"/>
          <w:szCs w:val="32"/>
          <w:shd w:val="clear" w:fill="FFFFFF"/>
          <w:lang w:val="en-US"/>
        </w:rPr>
        <w:t>99.78</w:t>
      </w:r>
      <w:r>
        <w:rPr>
          <w:rFonts w:hint="eastAsia" w:ascii="方正仿宋_GBK" w:hAnsi="方正仿宋_GBK" w:eastAsia="方正仿宋_GBK" w:cs="方正仿宋_GBK"/>
          <w:color w:val="auto"/>
          <w:sz w:val="32"/>
          <w:szCs w:val="32"/>
          <w:shd w:val="clear" w:fill="FFFFFF"/>
          <w:lang w:eastAsia="zh-CN"/>
        </w:rPr>
        <w:t>元，车均购置费</w:t>
      </w:r>
      <w:r>
        <w:rPr>
          <w:rFonts w:hint="eastAsia" w:ascii="方正仿宋_GBK" w:hAnsi="方正仿宋_GBK" w:eastAsia="方正仿宋_GBK" w:cs="方正仿宋_GBK"/>
          <w:color w:val="auto"/>
          <w:sz w:val="32"/>
          <w:szCs w:val="32"/>
          <w:shd w:val="clear" w:fill="FFFFFF"/>
          <w:lang w:val="en-US"/>
        </w:rPr>
        <w:t>0.00</w:t>
      </w:r>
      <w:r>
        <w:rPr>
          <w:rFonts w:hint="eastAsia" w:ascii="方正仿宋_GBK" w:hAnsi="方正仿宋_GBK" w:eastAsia="方正仿宋_GBK" w:cs="方正仿宋_GBK"/>
          <w:color w:val="auto"/>
          <w:sz w:val="32"/>
          <w:szCs w:val="32"/>
          <w:shd w:val="clear" w:fill="FFFFFF"/>
          <w:lang w:eastAsia="zh-CN"/>
        </w:rPr>
        <w:t>万元，车均维护费</w:t>
      </w:r>
      <w:r>
        <w:rPr>
          <w:rFonts w:hint="eastAsia" w:ascii="方正仿宋_GBK" w:hAnsi="方正仿宋_GBK" w:eastAsia="方正仿宋_GBK" w:cs="方正仿宋_GBK"/>
          <w:color w:val="auto"/>
          <w:sz w:val="32"/>
          <w:szCs w:val="32"/>
          <w:shd w:val="clear" w:fill="FFFFFF"/>
          <w:lang w:val="en-US"/>
        </w:rPr>
        <w:t>4.47</w:t>
      </w:r>
      <w:r>
        <w:rPr>
          <w:rFonts w:hint="eastAsia" w:ascii="方正仿宋_GBK" w:hAnsi="方正仿宋_GBK" w:eastAsia="方正仿宋_GBK" w:cs="方正仿宋_GBK"/>
          <w:color w:val="auto"/>
          <w:sz w:val="32"/>
          <w:szCs w:val="32"/>
          <w:shd w:val="clear" w:fill="FFFFFF"/>
          <w:lang w:eastAsia="zh-CN"/>
        </w:rPr>
        <w:t>万元。</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黑体_GBK" w:hAnsi="方正黑体_GBK" w:eastAsia="方正黑体_GBK" w:cs="方正黑体_GBK"/>
          <w:b/>
          <w:bCs w:val="0"/>
          <w:sz w:val="32"/>
          <w:szCs w:val="32"/>
          <w:shd w:val="clear" w:fill="FFFFFF"/>
          <w:lang w:val="en-US"/>
        </w:rPr>
      </w:pPr>
      <w:r>
        <w:rPr>
          <w:rStyle w:val="5"/>
          <w:rFonts w:hint="eastAsia" w:ascii="方正黑体_GBK" w:hAnsi="宋体" w:eastAsia="方正黑体_GBK" w:cs="宋体"/>
          <w:b w:val="0"/>
          <w:bCs/>
          <w:color w:val="auto"/>
          <w:sz w:val="32"/>
          <w:szCs w:val="32"/>
          <w:shd w:val="clear" w:fill="FFFFFF"/>
          <w:lang w:eastAsia="zh-CN"/>
        </w:rPr>
        <w:t>四、其他需要说明的事项</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楷体_GBK" w:hAnsi="方正楷体_GBK" w:eastAsia="方正楷体_GBK" w:cs="方正楷体_GBK"/>
          <w:b/>
          <w:bCs/>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（一）一般公共预算财政拨款会议费和培训费情况说明。</w:t>
      </w:r>
    </w:p>
    <w:p>
      <w:pPr>
        <w:pStyle w:val="2"/>
        <w:shd w:val="clear" w:fill="FFFFFF"/>
        <w:adjustRightInd w:val="0"/>
        <w:snapToGrid w:val="0"/>
        <w:spacing w:before="0" w:beforeAutospacing="0" w:after="0" w:afterAutospacing="0" w:line="600" w:lineRule="exact"/>
        <w:ind w:left="0" w:right="0" w:firstLine="540" w:firstLineChars="200"/>
        <w:jc w:val="both"/>
        <w:rPr>
          <w:rFonts w:hint="eastAsia" w:ascii="方正仿宋_GBK" w:hAnsi="方正仿宋_GBK" w:eastAsia="方正仿宋_GBK" w:cs="方正仿宋_GBK"/>
          <w:sz w:val="32"/>
          <w:szCs w:val="32"/>
          <w:shd w:val="clear" w:fill="FFFFFF"/>
          <w:lang w:val="en-US"/>
        </w:rPr>
      </w:pPr>
      <w:r>
        <w:rPr>
          <w:color w:val="auto"/>
          <w:sz w:val="27"/>
          <w:szCs w:val="27"/>
          <w:shd w:val="clear" w:fill="FFFFFF"/>
          <w:lang w:val="en-US"/>
        </w:rPr>
        <w:t> </w:t>
      </w:r>
      <w:r>
        <w:rPr>
          <w:rFonts w:hint="eastAsia" w:ascii="方正仿宋_GBK" w:hAnsi="方正仿宋_GBK" w:eastAsia="方正仿宋_GBK" w:cs="方正仿宋_GBK"/>
          <w:color w:val="auto"/>
          <w:sz w:val="32"/>
          <w:szCs w:val="32"/>
          <w:shd w:val="clear" w:fill="FFFFFF"/>
          <w:lang w:val="en-US"/>
        </w:rPr>
        <w:t xml:space="preserve"> </w:t>
      </w:r>
      <w:r>
        <w:rPr>
          <w:rFonts w:hint="eastAsia" w:ascii="方正仿宋_GBK" w:hAnsi="方正仿宋_GBK" w:eastAsia="方正仿宋_GBK" w:cs="方正仿宋_GBK"/>
          <w:color w:val="auto"/>
          <w:sz w:val="32"/>
          <w:szCs w:val="32"/>
          <w:shd w:val="clear" w:fill="FFFFFF"/>
          <w:lang w:eastAsia="zh-CN"/>
        </w:rPr>
        <w:t>本年度会议费支出</w:t>
      </w:r>
      <w:r>
        <w:rPr>
          <w:rFonts w:hint="eastAsia" w:ascii="方正仿宋_GBK" w:hAnsi="方正仿宋_GBK" w:eastAsia="方正仿宋_GBK" w:cs="方正仿宋_GBK"/>
          <w:color w:val="auto"/>
          <w:sz w:val="32"/>
          <w:szCs w:val="32"/>
          <w:shd w:val="clear" w:fill="FFFFFF"/>
          <w:lang w:val="en-US"/>
        </w:rPr>
        <w:t>6.03</w:t>
      </w:r>
      <w:r>
        <w:rPr>
          <w:rFonts w:hint="eastAsia" w:ascii="方正仿宋_GBK" w:hAnsi="方正仿宋_GBK" w:eastAsia="方正仿宋_GBK" w:cs="方正仿宋_GBK"/>
          <w:color w:val="auto"/>
          <w:sz w:val="32"/>
          <w:szCs w:val="32"/>
          <w:shd w:val="clear" w:fill="FFFFFF"/>
          <w:lang w:eastAsia="zh-CN"/>
        </w:rPr>
        <w:t>万元，较上年决算数减少</w:t>
      </w:r>
      <w:r>
        <w:rPr>
          <w:rFonts w:hint="eastAsia" w:ascii="方正仿宋_GBK" w:hAnsi="方正仿宋_GBK" w:eastAsia="方正仿宋_GBK" w:cs="方正仿宋_GBK"/>
          <w:color w:val="auto"/>
          <w:sz w:val="32"/>
          <w:szCs w:val="32"/>
          <w:shd w:val="clear" w:fill="FFFFFF"/>
          <w:lang w:val="en-US"/>
        </w:rPr>
        <w:t>39.97</w:t>
      </w:r>
      <w:r>
        <w:rPr>
          <w:rFonts w:hint="eastAsia" w:ascii="方正仿宋_GBK" w:hAnsi="方正仿宋_GBK" w:eastAsia="方正仿宋_GBK" w:cs="方正仿宋_GBK"/>
          <w:color w:val="auto"/>
          <w:sz w:val="32"/>
          <w:szCs w:val="32"/>
          <w:shd w:val="clear" w:fill="FFFFFF"/>
          <w:lang w:eastAsia="zh-CN"/>
        </w:rPr>
        <w:t>万元，下降</w:t>
      </w:r>
      <w:r>
        <w:rPr>
          <w:rFonts w:hint="eastAsia" w:ascii="方正仿宋_GBK" w:hAnsi="方正仿宋_GBK" w:eastAsia="方正仿宋_GBK" w:cs="方正仿宋_GBK"/>
          <w:color w:val="auto"/>
          <w:sz w:val="32"/>
          <w:szCs w:val="32"/>
          <w:shd w:val="clear" w:fill="FFFFFF"/>
          <w:lang w:val="en-US"/>
        </w:rPr>
        <w:t>86.9%</w:t>
      </w:r>
      <w:r>
        <w:rPr>
          <w:rFonts w:hint="eastAsia" w:ascii="方正仿宋_GBK" w:hAnsi="方正仿宋_GBK" w:eastAsia="方正仿宋_GBK" w:cs="方正仿宋_GBK"/>
          <w:color w:val="auto"/>
          <w:sz w:val="32"/>
          <w:szCs w:val="32"/>
          <w:shd w:val="clear" w:fill="FFFFFF"/>
          <w:lang w:eastAsia="zh-CN"/>
        </w:rPr>
        <w:t>，主要原因是上年度两项普查工作会议已举行完毕，本年度只开展日常工作会议，会议费用减少。本年度培训费支出</w:t>
      </w:r>
      <w:r>
        <w:rPr>
          <w:rFonts w:hint="eastAsia" w:ascii="方正仿宋_GBK" w:hAnsi="方正仿宋_GBK" w:eastAsia="方正仿宋_GBK" w:cs="方正仿宋_GBK"/>
          <w:color w:val="auto"/>
          <w:sz w:val="32"/>
          <w:szCs w:val="32"/>
          <w:shd w:val="clear" w:fill="FFFFFF"/>
          <w:lang w:val="en-US"/>
        </w:rPr>
        <w:t>0.11</w:t>
      </w:r>
      <w:r>
        <w:rPr>
          <w:rFonts w:hint="eastAsia" w:ascii="方正仿宋_GBK" w:hAnsi="方正仿宋_GBK" w:eastAsia="方正仿宋_GBK" w:cs="方正仿宋_GBK"/>
          <w:color w:val="auto"/>
          <w:sz w:val="32"/>
          <w:szCs w:val="32"/>
          <w:shd w:val="clear" w:fill="FFFFFF"/>
          <w:lang w:eastAsia="zh-CN"/>
        </w:rPr>
        <w:t>万元，较上年决算数增加</w:t>
      </w:r>
      <w:r>
        <w:rPr>
          <w:rFonts w:hint="eastAsia" w:ascii="方正仿宋_GBK" w:hAnsi="方正仿宋_GBK" w:eastAsia="方正仿宋_GBK" w:cs="方正仿宋_GBK"/>
          <w:color w:val="auto"/>
          <w:sz w:val="32"/>
          <w:szCs w:val="32"/>
          <w:shd w:val="clear" w:fill="FFFFFF"/>
          <w:lang w:val="en-US"/>
        </w:rPr>
        <w:t>0.11</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100%</w:t>
      </w:r>
      <w:r>
        <w:rPr>
          <w:rFonts w:hint="eastAsia" w:ascii="方正仿宋_GBK" w:hAnsi="方正仿宋_GBK" w:eastAsia="方正仿宋_GBK" w:cs="方正仿宋_GBK"/>
          <w:color w:val="auto"/>
          <w:sz w:val="32"/>
          <w:szCs w:val="32"/>
          <w:shd w:val="clear" w:fill="FFFFFF"/>
          <w:lang w:eastAsia="zh-CN"/>
        </w:rPr>
        <w:t>，主要原因是本年度新增单位专业技术人员继续教育培训，支付培训费用导致本年度培训费较上年增加。</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楷体_GBK" w:hAnsi="方正楷体_GBK" w:eastAsia="方正楷体_GBK" w:cs="方正楷体_GBK"/>
          <w:b/>
          <w:bCs w:val="0"/>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w:t>
      </w:r>
      <w:r>
        <w:rPr>
          <w:rFonts w:hint="eastAsia" w:ascii="方正楷体_GBK" w:hAnsi="方正楷体_GBK" w:eastAsia="方正楷体_GBK" w:cs="方正楷体_GBK"/>
          <w:b/>
          <w:bCs w:val="0"/>
          <w:color w:val="auto"/>
          <w:sz w:val="32"/>
          <w:szCs w:val="32"/>
          <w:shd w:val="clear" w:fill="FFFFFF"/>
          <w:lang w:eastAsia="zh-CN"/>
        </w:rPr>
        <w:t>二）机关运行经费情况说明</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年度本部门机关运行经费支出</w:t>
      </w:r>
      <w:r>
        <w:rPr>
          <w:rFonts w:hint="eastAsia" w:ascii="方正仿宋_GBK" w:hAnsi="方正仿宋_GBK" w:eastAsia="方正仿宋_GBK" w:cs="方正仿宋_GBK"/>
          <w:color w:val="auto"/>
          <w:sz w:val="32"/>
          <w:szCs w:val="32"/>
          <w:shd w:val="clear" w:fill="FFFFFF"/>
          <w:lang w:val="en-US"/>
        </w:rPr>
        <w:t>123.56</w:t>
      </w:r>
      <w:r>
        <w:rPr>
          <w:rFonts w:hint="eastAsia" w:ascii="方正仿宋_GBK" w:hAnsi="方正仿宋_GBK" w:eastAsia="方正仿宋_GBK" w:cs="方正仿宋_GBK"/>
          <w:color w:val="auto"/>
          <w:sz w:val="32"/>
          <w:szCs w:val="32"/>
          <w:shd w:val="clear" w:fill="FFFFFF"/>
          <w:lang w:eastAsia="zh-CN"/>
        </w:rPr>
        <w:t>万元，机关运行经费主要用于开支办公费、印刷费、电费、邮电费、物业管理费、差旅费、租赁费、会议费、公务接待费、工会经费、公务用车运行维护费、其他交通费用、其他商品和服务支出。机关运行经费较上年决算数增加</w:t>
      </w:r>
      <w:r>
        <w:rPr>
          <w:rFonts w:hint="eastAsia" w:ascii="方正仿宋_GBK" w:hAnsi="方正仿宋_GBK" w:eastAsia="方正仿宋_GBK" w:cs="方正仿宋_GBK"/>
          <w:color w:val="auto"/>
          <w:sz w:val="32"/>
          <w:szCs w:val="32"/>
          <w:shd w:val="clear" w:fill="FFFFFF"/>
          <w:lang w:val="en-US"/>
        </w:rPr>
        <w:t>78.68</w:t>
      </w:r>
      <w:r>
        <w:rPr>
          <w:rFonts w:hint="eastAsia" w:ascii="方正仿宋_GBK" w:hAnsi="方正仿宋_GBK" w:eastAsia="方正仿宋_GBK" w:cs="方正仿宋_GBK"/>
          <w:color w:val="auto"/>
          <w:sz w:val="32"/>
          <w:szCs w:val="32"/>
          <w:shd w:val="clear" w:fill="FFFFFF"/>
          <w:lang w:eastAsia="zh-CN"/>
        </w:rPr>
        <w:t>万元，增长</w:t>
      </w:r>
      <w:r>
        <w:rPr>
          <w:rFonts w:hint="eastAsia" w:ascii="方正仿宋_GBK" w:hAnsi="方正仿宋_GBK" w:eastAsia="方正仿宋_GBK" w:cs="方正仿宋_GBK"/>
          <w:color w:val="auto"/>
          <w:sz w:val="32"/>
          <w:szCs w:val="32"/>
          <w:shd w:val="clear" w:fill="FFFFFF"/>
          <w:lang w:val="en-US"/>
        </w:rPr>
        <w:t>175.3%</w:t>
      </w:r>
      <w:r>
        <w:rPr>
          <w:rFonts w:hint="eastAsia" w:ascii="方正仿宋_GBK" w:hAnsi="方正仿宋_GBK" w:eastAsia="方正仿宋_GBK" w:cs="方正仿宋_GBK"/>
          <w:color w:val="auto"/>
          <w:sz w:val="32"/>
          <w:szCs w:val="32"/>
          <w:shd w:val="clear" w:fill="FFFFFF"/>
          <w:lang w:eastAsia="zh-CN"/>
        </w:rPr>
        <w:t>，主要原因是本年度公用经费标准提高，部分工作经费在公用经费中列支，故机关运行经费决算数增加。</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（三）国有资产占用情况说明</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eastAsia="zh-CN"/>
        </w:rPr>
        <w:t>截至</w:t>
      </w: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w:t>
      </w:r>
      <w:r>
        <w:rPr>
          <w:rFonts w:hint="eastAsia" w:ascii="方正仿宋_GBK" w:hAnsi="方正仿宋_GBK" w:eastAsia="方正仿宋_GBK" w:cs="方正仿宋_GBK"/>
          <w:color w:val="auto"/>
          <w:sz w:val="32"/>
          <w:szCs w:val="32"/>
          <w:shd w:val="clear" w:fill="FFFFFF"/>
          <w:lang w:val="en-US"/>
        </w:rPr>
        <w:t>12</w:t>
      </w:r>
      <w:r>
        <w:rPr>
          <w:rFonts w:hint="eastAsia" w:ascii="方正仿宋_GBK" w:hAnsi="方正仿宋_GBK" w:eastAsia="方正仿宋_GBK" w:cs="方正仿宋_GBK"/>
          <w:color w:val="auto"/>
          <w:sz w:val="32"/>
          <w:szCs w:val="32"/>
          <w:shd w:val="clear" w:fill="FFFFFF"/>
          <w:lang w:eastAsia="zh-CN"/>
        </w:rPr>
        <w:t>月</w:t>
      </w:r>
      <w:r>
        <w:rPr>
          <w:rFonts w:hint="eastAsia" w:ascii="方正仿宋_GBK" w:hAnsi="方正仿宋_GBK" w:eastAsia="方正仿宋_GBK" w:cs="方正仿宋_GBK"/>
          <w:color w:val="auto"/>
          <w:sz w:val="32"/>
          <w:szCs w:val="32"/>
          <w:shd w:val="clear" w:fill="FFFFFF"/>
          <w:lang w:val="en-US"/>
        </w:rPr>
        <w:t>31</w:t>
      </w:r>
      <w:r>
        <w:rPr>
          <w:rFonts w:hint="eastAsia" w:ascii="方正仿宋_GBK" w:hAnsi="方正仿宋_GBK" w:eastAsia="方正仿宋_GBK" w:cs="方正仿宋_GBK"/>
          <w:color w:val="auto"/>
          <w:sz w:val="32"/>
          <w:szCs w:val="32"/>
          <w:shd w:val="clear" w:fill="FFFFFF"/>
          <w:lang w:eastAsia="zh-CN"/>
        </w:rPr>
        <w:t>日，本部门共有车辆</w:t>
      </w:r>
      <w:r>
        <w:rPr>
          <w:rFonts w:hint="eastAsia" w:ascii="方正仿宋_GBK" w:hAnsi="方正仿宋_GBK" w:eastAsia="方正仿宋_GBK" w:cs="方正仿宋_GBK"/>
          <w:color w:val="auto"/>
          <w:sz w:val="32"/>
          <w:szCs w:val="32"/>
          <w:shd w:val="clear" w:fill="FFFFFF"/>
          <w:lang w:val="en-US"/>
        </w:rPr>
        <w:t>1</w:t>
      </w:r>
      <w:r>
        <w:rPr>
          <w:rFonts w:hint="eastAsia" w:ascii="方正仿宋_GBK" w:hAnsi="方正仿宋_GBK" w:eastAsia="方正仿宋_GBK" w:cs="方正仿宋_GBK"/>
          <w:color w:val="auto"/>
          <w:sz w:val="32"/>
          <w:szCs w:val="32"/>
          <w:shd w:val="clear" w:fill="FFFFFF"/>
          <w:lang w:eastAsia="zh-CN"/>
        </w:rPr>
        <w:t>辆，其中，副部（省）级及以上领导用车</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辆、主要领导干部用车</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辆、机要通信用车</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辆、应急保障用车</w:t>
      </w:r>
      <w:r>
        <w:rPr>
          <w:rFonts w:hint="eastAsia" w:ascii="方正仿宋_GBK" w:hAnsi="方正仿宋_GBK" w:eastAsia="方正仿宋_GBK" w:cs="方正仿宋_GBK"/>
          <w:color w:val="auto"/>
          <w:sz w:val="32"/>
          <w:szCs w:val="32"/>
          <w:shd w:val="clear" w:fill="FFFFFF"/>
          <w:lang w:val="en-US"/>
        </w:rPr>
        <w:t>1</w:t>
      </w:r>
      <w:r>
        <w:rPr>
          <w:rFonts w:hint="eastAsia" w:ascii="方正仿宋_GBK" w:hAnsi="方正仿宋_GBK" w:eastAsia="方正仿宋_GBK" w:cs="方正仿宋_GBK"/>
          <w:color w:val="auto"/>
          <w:sz w:val="32"/>
          <w:szCs w:val="32"/>
          <w:shd w:val="clear" w:fill="FFFFFF"/>
          <w:lang w:eastAsia="zh-CN"/>
        </w:rPr>
        <w:t>辆、执法执勤用车</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辆，特种专业技术用车</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辆，离退休干部用车</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辆，其他用车</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辆。单价</w:t>
      </w:r>
      <w:r>
        <w:rPr>
          <w:rFonts w:hint="eastAsia" w:ascii="方正仿宋_GBK" w:hAnsi="方正仿宋_GBK" w:eastAsia="方正仿宋_GBK" w:cs="方正仿宋_GBK"/>
          <w:color w:val="auto"/>
          <w:sz w:val="32"/>
          <w:szCs w:val="32"/>
          <w:shd w:val="clear" w:fill="FFFFFF"/>
          <w:lang w:val="en-US"/>
        </w:rPr>
        <w:t>50</w:t>
      </w:r>
      <w:r>
        <w:rPr>
          <w:rFonts w:hint="eastAsia" w:ascii="方正仿宋_GBK" w:hAnsi="方正仿宋_GBK" w:eastAsia="方正仿宋_GBK" w:cs="方正仿宋_GBK"/>
          <w:color w:val="auto"/>
          <w:sz w:val="32"/>
          <w:szCs w:val="32"/>
          <w:shd w:val="clear" w:fill="FFFFFF"/>
          <w:lang w:eastAsia="zh-CN"/>
        </w:rPr>
        <w:t>万元（含）以上通用设备</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台（套），单价</w:t>
      </w:r>
      <w:r>
        <w:rPr>
          <w:rFonts w:hint="eastAsia" w:ascii="方正仿宋_GBK" w:hAnsi="方正仿宋_GBK" w:eastAsia="方正仿宋_GBK" w:cs="方正仿宋_GBK"/>
          <w:color w:val="auto"/>
          <w:sz w:val="32"/>
          <w:szCs w:val="32"/>
          <w:shd w:val="clear" w:fill="FFFFFF"/>
          <w:lang w:val="en-US"/>
        </w:rPr>
        <w:t>100</w:t>
      </w:r>
      <w:r>
        <w:rPr>
          <w:rFonts w:hint="eastAsia" w:ascii="方正仿宋_GBK" w:hAnsi="方正仿宋_GBK" w:eastAsia="方正仿宋_GBK" w:cs="方正仿宋_GBK"/>
          <w:color w:val="auto"/>
          <w:sz w:val="32"/>
          <w:szCs w:val="32"/>
          <w:shd w:val="clear" w:fill="FFFFFF"/>
          <w:lang w:eastAsia="zh-CN"/>
        </w:rPr>
        <w:t>万元（含）以上专用设备</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台（套）。</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楷体_GBK" w:hAnsi="方正楷体_GBK" w:eastAsia="方正楷体_GBK" w:cs="方正楷体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（四）政府采购支出情况说明</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val="en-US"/>
        </w:rPr>
        <w:t>2021</w:t>
      </w:r>
      <w:r>
        <w:rPr>
          <w:rFonts w:hint="eastAsia" w:ascii="方正仿宋_GBK" w:hAnsi="方正仿宋_GBK" w:eastAsia="方正仿宋_GBK" w:cs="方正仿宋_GBK"/>
          <w:color w:val="auto"/>
          <w:sz w:val="32"/>
          <w:szCs w:val="32"/>
          <w:shd w:val="clear" w:fill="FFFFFF"/>
          <w:lang w:eastAsia="zh-CN"/>
        </w:rPr>
        <w:t>年度本部门政府采购支出总额</w:t>
      </w:r>
      <w:r>
        <w:rPr>
          <w:rFonts w:hint="eastAsia" w:ascii="方正仿宋_GBK" w:hAnsi="方正仿宋_GBK" w:eastAsia="方正仿宋_GBK" w:cs="方正仿宋_GBK"/>
          <w:color w:val="auto"/>
          <w:sz w:val="32"/>
          <w:szCs w:val="32"/>
          <w:shd w:val="clear" w:fill="FFFFFF"/>
          <w:lang w:val="en-US"/>
        </w:rPr>
        <w:t>0.86</w:t>
      </w:r>
      <w:r>
        <w:rPr>
          <w:rFonts w:hint="eastAsia" w:ascii="方正仿宋_GBK" w:hAnsi="方正仿宋_GBK" w:eastAsia="方正仿宋_GBK" w:cs="方正仿宋_GBK"/>
          <w:color w:val="auto"/>
          <w:sz w:val="32"/>
          <w:szCs w:val="32"/>
          <w:shd w:val="clear" w:fill="FFFFFF"/>
          <w:lang w:eastAsia="zh-CN"/>
        </w:rPr>
        <w:t>万元，其中：政府采购货物支出</w:t>
      </w:r>
      <w:r>
        <w:rPr>
          <w:rFonts w:hint="eastAsia" w:ascii="方正仿宋_GBK" w:hAnsi="方正仿宋_GBK" w:eastAsia="方正仿宋_GBK" w:cs="方正仿宋_GBK"/>
          <w:color w:val="auto"/>
          <w:sz w:val="32"/>
          <w:szCs w:val="32"/>
          <w:shd w:val="clear" w:fill="FFFFFF"/>
          <w:lang w:val="en-US"/>
        </w:rPr>
        <w:t>0.86</w:t>
      </w:r>
      <w:r>
        <w:rPr>
          <w:rFonts w:hint="eastAsia" w:ascii="方正仿宋_GBK" w:hAnsi="方正仿宋_GBK" w:eastAsia="方正仿宋_GBK" w:cs="方正仿宋_GBK"/>
          <w:color w:val="auto"/>
          <w:sz w:val="32"/>
          <w:szCs w:val="32"/>
          <w:shd w:val="clear" w:fill="FFFFFF"/>
          <w:lang w:eastAsia="zh-CN"/>
        </w:rPr>
        <w:t>万元、政府采购工程支出</w:t>
      </w:r>
      <w:r>
        <w:rPr>
          <w:rFonts w:hint="eastAsia" w:ascii="方正仿宋_GBK" w:hAnsi="方正仿宋_GBK" w:eastAsia="方正仿宋_GBK" w:cs="方正仿宋_GBK"/>
          <w:color w:val="auto"/>
          <w:sz w:val="32"/>
          <w:szCs w:val="32"/>
          <w:shd w:val="clear" w:fill="FFFFFF"/>
          <w:lang w:val="en-US"/>
        </w:rPr>
        <w:t>0.00</w:t>
      </w:r>
      <w:r>
        <w:rPr>
          <w:rFonts w:hint="eastAsia" w:ascii="方正仿宋_GBK" w:hAnsi="方正仿宋_GBK" w:eastAsia="方正仿宋_GBK" w:cs="方正仿宋_GBK"/>
          <w:color w:val="auto"/>
          <w:sz w:val="32"/>
          <w:szCs w:val="32"/>
          <w:shd w:val="clear" w:fill="FFFFFF"/>
          <w:lang w:eastAsia="zh-CN"/>
        </w:rPr>
        <w:t>万元、政府采购服务支出</w:t>
      </w:r>
      <w:r>
        <w:rPr>
          <w:rFonts w:hint="eastAsia" w:ascii="方正仿宋_GBK" w:hAnsi="方正仿宋_GBK" w:eastAsia="方正仿宋_GBK" w:cs="方正仿宋_GBK"/>
          <w:color w:val="auto"/>
          <w:sz w:val="32"/>
          <w:szCs w:val="32"/>
          <w:shd w:val="clear" w:fill="FFFFFF"/>
          <w:lang w:val="en-US"/>
        </w:rPr>
        <w:t>0.00</w:t>
      </w:r>
      <w:r>
        <w:rPr>
          <w:rFonts w:hint="eastAsia" w:ascii="方正仿宋_GBK" w:hAnsi="方正仿宋_GBK" w:eastAsia="方正仿宋_GBK" w:cs="方正仿宋_GBK"/>
          <w:color w:val="auto"/>
          <w:sz w:val="32"/>
          <w:szCs w:val="32"/>
          <w:shd w:val="clear" w:fill="FFFFFF"/>
          <w:lang w:eastAsia="zh-CN"/>
        </w:rPr>
        <w:t>万元。授予中小企业合同金额</w:t>
      </w:r>
      <w:r>
        <w:rPr>
          <w:rFonts w:hint="eastAsia" w:ascii="方正仿宋_GBK" w:hAnsi="方正仿宋_GBK" w:eastAsia="方正仿宋_GBK" w:cs="方正仿宋_GBK"/>
          <w:color w:val="auto"/>
          <w:sz w:val="32"/>
          <w:szCs w:val="32"/>
          <w:shd w:val="clear" w:fill="FFFFFF"/>
          <w:lang w:val="en-US"/>
        </w:rPr>
        <w:t>0.86</w:t>
      </w:r>
      <w:r>
        <w:rPr>
          <w:rFonts w:hint="eastAsia" w:ascii="方正仿宋_GBK" w:hAnsi="方正仿宋_GBK" w:eastAsia="方正仿宋_GBK" w:cs="方正仿宋_GBK"/>
          <w:color w:val="auto"/>
          <w:sz w:val="32"/>
          <w:szCs w:val="32"/>
          <w:shd w:val="clear" w:fill="FFFFFF"/>
          <w:lang w:eastAsia="zh-CN"/>
        </w:rPr>
        <w:t>万元，占政府采购支出总额的</w:t>
      </w:r>
      <w:r>
        <w:rPr>
          <w:rFonts w:hint="eastAsia" w:ascii="方正仿宋_GBK" w:hAnsi="方正仿宋_GBK" w:eastAsia="方正仿宋_GBK" w:cs="方正仿宋_GBK"/>
          <w:color w:val="auto"/>
          <w:sz w:val="32"/>
          <w:szCs w:val="32"/>
          <w:shd w:val="clear" w:fill="FFFFFF"/>
          <w:lang w:val="en-US"/>
        </w:rPr>
        <w:t>100%</w:t>
      </w:r>
      <w:r>
        <w:rPr>
          <w:rFonts w:hint="eastAsia" w:ascii="方正仿宋_GBK" w:hAnsi="方正仿宋_GBK" w:eastAsia="方正仿宋_GBK" w:cs="方正仿宋_GBK"/>
          <w:color w:val="auto"/>
          <w:sz w:val="32"/>
          <w:szCs w:val="32"/>
          <w:shd w:val="clear" w:fill="FFFFFF"/>
          <w:lang w:eastAsia="zh-CN"/>
        </w:rPr>
        <w:t>，其中：授予小微企业合同金额</w:t>
      </w:r>
      <w:r>
        <w:rPr>
          <w:rFonts w:hint="eastAsia" w:ascii="方正仿宋_GBK" w:hAnsi="方正仿宋_GBK" w:eastAsia="方正仿宋_GBK" w:cs="方正仿宋_GBK"/>
          <w:color w:val="auto"/>
          <w:sz w:val="32"/>
          <w:szCs w:val="32"/>
          <w:shd w:val="clear" w:fill="FFFFFF"/>
          <w:lang w:val="en-US"/>
        </w:rPr>
        <w:t>0.86</w:t>
      </w:r>
      <w:r>
        <w:rPr>
          <w:rFonts w:hint="eastAsia" w:ascii="方正仿宋_GBK" w:hAnsi="方正仿宋_GBK" w:eastAsia="方正仿宋_GBK" w:cs="方正仿宋_GBK"/>
          <w:color w:val="auto"/>
          <w:sz w:val="32"/>
          <w:szCs w:val="32"/>
          <w:shd w:val="clear" w:fill="FFFFFF"/>
          <w:lang w:eastAsia="zh-CN"/>
        </w:rPr>
        <w:t>万元，占政府采购支出总额的</w:t>
      </w:r>
      <w:r>
        <w:rPr>
          <w:rFonts w:hint="eastAsia" w:ascii="方正仿宋_GBK" w:hAnsi="方正仿宋_GBK" w:eastAsia="方正仿宋_GBK" w:cs="方正仿宋_GBK"/>
          <w:color w:val="auto"/>
          <w:sz w:val="32"/>
          <w:szCs w:val="32"/>
          <w:shd w:val="clear" w:fill="FFFFFF"/>
          <w:lang w:val="en-US"/>
        </w:rPr>
        <w:t>100%</w:t>
      </w:r>
      <w:r>
        <w:rPr>
          <w:rFonts w:hint="eastAsia" w:ascii="方正仿宋_GBK" w:hAnsi="方正仿宋_GBK" w:eastAsia="方正仿宋_GBK" w:cs="方正仿宋_GBK"/>
          <w:color w:val="auto"/>
          <w:sz w:val="32"/>
          <w:szCs w:val="32"/>
          <w:shd w:val="clear" w:fill="FFFFFF"/>
          <w:lang w:eastAsia="zh-CN"/>
        </w:rPr>
        <w:t>。主要用于采购办公台式电脑。</w:t>
      </w:r>
    </w:p>
    <w:p>
      <w:pPr>
        <w:pStyle w:val="2"/>
        <w:shd w:val="clear" w:fill="FFFFFF"/>
        <w:adjustRightInd w:val="0"/>
        <w:snapToGrid w:val="0"/>
        <w:spacing w:before="0" w:beforeAutospacing="0" w:after="0" w:afterAutospacing="0" w:line="600" w:lineRule="exact"/>
        <w:ind w:left="0" w:right="0" w:firstLine="640" w:firstLineChars="200"/>
        <w:rPr>
          <w:rFonts w:hint="eastAsia" w:ascii="方正黑体_GBK" w:hAnsi="方正黑体_GBK" w:eastAsia="方正黑体_GBK" w:cs="方正黑体_GBK"/>
          <w:b/>
          <w:bCs w:val="0"/>
          <w:sz w:val="32"/>
          <w:szCs w:val="32"/>
          <w:shd w:val="clear" w:fill="FFFFFF"/>
          <w:lang w:val="en-US"/>
        </w:rPr>
      </w:pPr>
      <w:r>
        <w:rPr>
          <w:rStyle w:val="5"/>
          <w:rFonts w:hint="eastAsia" w:ascii="方正黑体_GBK" w:hAnsi="宋体" w:eastAsia="方正黑体_GBK" w:cs="宋体"/>
          <w:b w:val="0"/>
          <w:bCs/>
          <w:color w:val="auto"/>
          <w:sz w:val="32"/>
          <w:szCs w:val="32"/>
          <w:shd w:val="clear" w:fill="FFFFFF"/>
          <w:lang w:eastAsia="zh-CN"/>
        </w:rPr>
        <w:t>五、预算绩效管理情况说明</w:t>
      </w:r>
    </w:p>
    <w:p>
      <w:pPr>
        <w:pStyle w:val="2"/>
        <w:shd w:val="clear" w:fill="FFFFFF"/>
        <w:adjustRightInd w:val="0"/>
        <w:snapToGrid w:val="0"/>
        <w:spacing w:before="0" w:beforeAutospacing="0" w:after="0" w:afterAutospacing="0" w:line="600" w:lineRule="exact"/>
        <w:ind w:left="0" w:right="0" w:firstLine="643" w:firstLineChars="200"/>
        <w:rPr>
          <w:rFonts w:hint="eastAsia" w:ascii="方正楷体_GBK" w:hAnsi="方正楷体_GBK" w:eastAsia="方正楷体_GBK" w:cs="方正楷体_GBK"/>
          <w:sz w:val="32"/>
          <w:szCs w:val="32"/>
          <w:shd w:val="clear" w:fill="FFFF00"/>
          <w:lang w:val="en-US"/>
        </w:rPr>
      </w:pPr>
      <w:r>
        <w:rPr>
          <w:rStyle w:val="5"/>
          <w:rFonts w:hint="eastAsia" w:ascii="方正楷体_GBK" w:hAnsi="宋体" w:eastAsia="方正楷体_GBK" w:cs="宋体"/>
          <w:color w:val="auto"/>
          <w:sz w:val="32"/>
          <w:szCs w:val="32"/>
          <w:shd w:val="clear" w:fill="FFFFFF"/>
          <w:lang w:eastAsia="zh-CN"/>
        </w:rPr>
        <w:t>（一）预算绩效管理工作开展情况</w:t>
      </w:r>
    </w:p>
    <w:p>
      <w:pPr>
        <w:pStyle w:val="2"/>
        <w:shd w:val="clear" w:fill="FFFFFF"/>
        <w:adjustRightInd w:val="0"/>
        <w:snapToGrid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eastAsia="zh-CN"/>
        </w:rPr>
        <w:t>根据预算绩效管理要求，本部门对</w:t>
      </w:r>
      <w:r>
        <w:rPr>
          <w:rFonts w:hint="eastAsia" w:ascii="方正仿宋_GBK" w:hAnsi="方正仿宋_GBK" w:eastAsia="方正仿宋_GBK" w:cs="方正仿宋_GBK"/>
          <w:color w:val="auto"/>
          <w:sz w:val="32"/>
          <w:szCs w:val="32"/>
          <w:shd w:val="clear" w:fill="FFFFFF"/>
          <w:lang w:val="en-US"/>
        </w:rPr>
        <w:t>3</w:t>
      </w:r>
      <w:r>
        <w:rPr>
          <w:rFonts w:hint="eastAsia" w:ascii="方正仿宋_GBK" w:hAnsi="方正仿宋_GBK" w:eastAsia="方正仿宋_GBK" w:cs="方正仿宋_GBK"/>
          <w:color w:val="auto"/>
          <w:sz w:val="32"/>
          <w:szCs w:val="32"/>
          <w:shd w:val="clear" w:fill="FFFFFF"/>
          <w:lang w:eastAsia="zh-CN"/>
        </w:rPr>
        <w:t>个项目开展了绩效自评，其中，以填报目标自评表形式开展自评</w:t>
      </w:r>
      <w:r>
        <w:rPr>
          <w:rFonts w:hint="eastAsia" w:ascii="方正仿宋_GBK" w:hAnsi="方正仿宋_GBK" w:eastAsia="方正仿宋_GBK" w:cs="方正仿宋_GBK"/>
          <w:color w:val="auto"/>
          <w:sz w:val="32"/>
          <w:szCs w:val="32"/>
          <w:shd w:val="clear" w:fill="FFFFFF"/>
          <w:lang w:val="en-US"/>
        </w:rPr>
        <w:t>3</w:t>
      </w:r>
      <w:r>
        <w:rPr>
          <w:rFonts w:hint="eastAsia" w:ascii="方正仿宋_GBK" w:hAnsi="方正仿宋_GBK" w:eastAsia="方正仿宋_GBK" w:cs="方正仿宋_GBK"/>
          <w:color w:val="auto"/>
          <w:sz w:val="32"/>
          <w:szCs w:val="32"/>
          <w:shd w:val="clear" w:fill="FFFFFF"/>
          <w:lang w:eastAsia="zh-CN"/>
        </w:rPr>
        <w:t>项，涉及资金</w:t>
      </w:r>
      <w:r>
        <w:rPr>
          <w:rFonts w:hint="eastAsia" w:ascii="方正仿宋_GBK" w:hAnsi="方正仿宋_GBK" w:eastAsia="方正仿宋_GBK" w:cs="方正仿宋_GBK"/>
          <w:color w:val="auto"/>
          <w:sz w:val="32"/>
          <w:szCs w:val="32"/>
          <w:shd w:val="clear" w:fill="FFFFFF"/>
          <w:lang w:val="en-US"/>
        </w:rPr>
        <w:t>176.64</w:t>
      </w:r>
      <w:r>
        <w:rPr>
          <w:rFonts w:hint="eastAsia" w:ascii="方正仿宋_GBK" w:hAnsi="方正仿宋_GBK" w:eastAsia="方正仿宋_GBK" w:cs="方正仿宋_GBK"/>
          <w:color w:val="auto"/>
          <w:sz w:val="32"/>
          <w:szCs w:val="32"/>
          <w:shd w:val="clear" w:fill="FFFFFF"/>
          <w:lang w:eastAsia="zh-CN"/>
        </w:rPr>
        <w:t>万元；以委托第三方形式开展绩效自评</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项，涉及资金</w:t>
      </w:r>
      <w:r>
        <w:rPr>
          <w:rFonts w:hint="eastAsia" w:ascii="方正仿宋_GBK" w:hAnsi="方正仿宋_GBK" w:eastAsia="方正仿宋_GBK" w:cs="方正仿宋_GBK"/>
          <w:color w:val="auto"/>
          <w:sz w:val="32"/>
          <w:szCs w:val="32"/>
          <w:shd w:val="clear" w:fill="FFFFFF"/>
          <w:lang w:val="en-US"/>
        </w:rPr>
        <w:t>0</w:t>
      </w:r>
      <w:r>
        <w:rPr>
          <w:rFonts w:hint="eastAsia" w:ascii="方正仿宋_GBK" w:hAnsi="方正仿宋_GBK" w:eastAsia="方正仿宋_GBK" w:cs="方正仿宋_GBK"/>
          <w:color w:val="auto"/>
          <w:sz w:val="32"/>
          <w:szCs w:val="32"/>
          <w:shd w:val="clear" w:fill="FFFFFF"/>
          <w:lang w:eastAsia="zh-CN"/>
        </w:rPr>
        <w:t>万元，从评价情况来看，项目绩效目标均已完成，达到预期目标。保证了我县各项统计工作正常开展，为县委县政府及社会公众提供各项社会经济数据。</w:t>
      </w:r>
    </w:p>
    <w:p>
      <w:pPr>
        <w:pStyle w:val="2"/>
        <w:shd w:val="clear" w:fill="FFFFFF"/>
        <w:adjustRightInd w:val="0"/>
        <w:snapToGrid w:val="0"/>
        <w:spacing w:before="0" w:beforeAutospacing="0" w:after="0" w:afterAutospacing="0" w:line="600" w:lineRule="exact"/>
        <w:ind w:left="0" w:right="0" w:firstLine="643" w:firstLineChars="200"/>
        <w:jc w:val="both"/>
        <w:rPr>
          <w:rFonts w:hint="eastAsia" w:ascii="方正楷体_GBK" w:hAnsi="宋体" w:eastAsia="方正楷体_GBK" w:cs="宋体"/>
          <w:shd w:val="clear" w:fill="FFFFFF"/>
          <w:lang w:val="en-US"/>
        </w:rPr>
      </w:pPr>
      <w:r>
        <w:rPr>
          <w:rStyle w:val="5"/>
          <w:rFonts w:hint="eastAsia" w:ascii="方正楷体_GBK" w:hAnsi="宋体" w:eastAsia="方正楷体_GBK" w:cs="宋体"/>
          <w:color w:val="auto"/>
          <w:sz w:val="32"/>
          <w:szCs w:val="32"/>
          <w:shd w:val="clear" w:fill="FFFFFF"/>
          <w:lang w:eastAsia="zh-CN"/>
        </w:rPr>
        <w:t>（二）绩效自评结果</w:t>
      </w:r>
    </w:p>
    <w:bookmarkEnd w:id="0"/>
    <w:p>
      <w:pPr>
        <w:pStyle w:val="2"/>
        <w:shd w:val="clear" w:fill="FFFFFF"/>
        <w:adjustRightInd w:val="0"/>
        <w:snapToGrid w:val="0"/>
        <w:spacing w:before="0" w:beforeAutospacing="0" w:after="0" w:afterAutospacing="0" w:line="600" w:lineRule="exact"/>
        <w:ind w:left="0" w:right="0" w:firstLine="640" w:firstLineChars="200"/>
        <w:jc w:val="center"/>
        <w:rPr>
          <w:rFonts w:hint="eastAsia" w:ascii="方正楷体_GBK" w:hAnsi="宋体" w:eastAsia="方正楷体_GBK" w:cs="宋体"/>
          <w:b w:val="0"/>
          <w:bCs w:val="0"/>
          <w:shd w:val="clear" w:fill="FFFFFF"/>
          <w:lang w:val="en-US"/>
        </w:rPr>
      </w:pPr>
      <w:r>
        <w:rPr>
          <w:rStyle w:val="5"/>
          <w:rFonts w:hint="eastAsia" w:ascii="方正楷体_GBK" w:hAnsi="宋体" w:eastAsia="方正楷体_GBK" w:cs="宋体"/>
          <w:b w:val="0"/>
          <w:bCs w:val="0"/>
          <w:color w:val="auto"/>
          <w:sz w:val="32"/>
          <w:szCs w:val="32"/>
          <w:shd w:val="clear" w:fill="FFFFFF"/>
          <w:lang w:val="en-US"/>
        </w:rPr>
        <w:t>2021</w:t>
      </w:r>
      <w:r>
        <w:rPr>
          <w:rStyle w:val="5"/>
          <w:rFonts w:hint="eastAsia" w:ascii="方正楷体_GBK" w:hAnsi="宋体" w:eastAsia="方正楷体_GBK" w:cs="宋体"/>
          <w:b w:val="0"/>
          <w:bCs w:val="0"/>
          <w:color w:val="auto"/>
          <w:sz w:val="32"/>
          <w:szCs w:val="32"/>
          <w:shd w:val="clear" w:fill="FFFFFF"/>
          <w:lang w:eastAsia="zh-CN"/>
        </w:rPr>
        <w:t>年度项目绩效目标自评表</w:t>
      </w:r>
    </w:p>
    <w:tbl>
      <w:tblPr>
        <w:tblStyle w:val="3"/>
        <w:tblW w:w="9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719"/>
        <w:gridCol w:w="1480"/>
        <w:gridCol w:w="1397"/>
        <w:gridCol w:w="1159"/>
        <w:gridCol w:w="919"/>
        <w:gridCol w:w="719"/>
        <w:gridCol w:w="680"/>
        <w:gridCol w:w="1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1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项目资金名称</w:t>
            </w:r>
          </w:p>
        </w:tc>
        <w:tc>
          <w:tcPr>
            <w:tcW w:w="4040" w:type="dxa"/>
            <w:gridSpan w:val="3"/>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统计专业及社情民意调查</w:t>
            </w:r>
          </w:p>
        </w:tc>
        <w:tc>
          <w:tcPr>
            <w:tcW w:w="1640" w:type="dxa"/>
            <w:gridSpan w:val="2"/>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项目实施年度</w:t>
            </w:r>
            <w:r>
              <w:rPr>
                <w:color w:val="000000"/>
                <w:sz w:val="20"/>
                <w:szCs w:val="20"/>
                <w:lang w:val="en-US"/>
              </w:rPr>
              <w:t>(</w:t>
            </w:r>
            <w:r>
              <w:rPr>
                <w:color w:val="000000"/>
                <w:sz w:val="20"/>
                <w:szCs w:val="20"/>
              </w:rPr>
              <w:t>时期</w:t>
            </w:r>
            <w:r>
              <w:rPr>
                <w:color w:val="000000"/>
                <w:sz w:val="20"/>
                <w:szCs w:val="20"/>
                <w:lang w:val="en-US"/>
              </w:rPr>
              <w:t>)</w:t>
            </w:r>
          </w:p>
        </w:tc>
        <w:tc>
          <w:tcPr>
            <w:tcW w:w="2300" w:type="dxa"/>
            <w:gridSpan w:val="2"/>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2021</w:t>
            </w:r>
            <w:r>
              <w:rPr>
                <w:color w:val="000000"/>
                <w:sz w:val="20"/>
                <w:szCs w:val="2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1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主管部门</w:t>
            </w:r>
          </w:p>
        </w:tc>
        <w:tc>
          <w:tcPr>
            <w:tcW w:w="4040" w:type="dxa"/>
            <w:gridSpan w:val="3"/>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石柱土家族自治县统计局</w:t>
            </w:r>
          </w:p>
        </w:tc>
        <w:tc>
          <w:tcPr>
            <w:tcW w:w="1640" w:type="dxa"/>
            <w:gridSpan w:val="2"/>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实施单位</w:t>
            </w:r>
          </w:p>
        </w:tc>
        <w:tc>
          <w:tcPr>
            <w:tcW w:w="2300" w:type="dxa"/>
            <w:gridSpan w:val="2"/>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石柱土家族自治县统计局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2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项目资金（万元）</w:t>
            </w:r>
          </w:p>
        </w:tc>
        <w:tc>
          <w:tcPr>
            <w:tcW w:w="2880" w:type="dxa"/>
            <w:gridSpan w:val="2"/>
            <w:tcBorders>
              <w:top w:val="single" w:color="auto" w:sz="4" w:space="0"/>
              <w:left w:val="nil"/>
              <w:bottom w:val="single" w:color="auto" w:sz="4" w:space="0"/>
              <w:right w:val="single" w:color="000000" w:sz="4" w:space="0"/>
            </w:tcBorders>
            <w:shd w:val="clear" w:color="auto" w:fill="auto"/>
            <w:vAlign w:val="center"/>
          </w:tcPr>
          <w:p>
            <w:pPr>
              <w:jc w:val="center"/>
              <w:rPr>
                <w:color w:val="000000"/>
                <w:sz w:val="20"/>
                <w:szCs w:val="20"/>
                <w:lang w:val="en-US"/>
              </w:rPr>
            </w:pPr>
            <w:r>
              <w:rPr>
                <w:color w:val="000000"/>
                <w:sz w:val="20"/>
                <w:szCs w:val="20"/>
              </w:rPr>
              <w:t>全年预算数</w:t>
            </w:r>
            <w:r>
              <w:rPr>
                <w:color w:val="000000"/>
                <w:sz w:val="20"/>
                <w:szCs w:val="20"/>
                <w:lang w:val="en-US"/>
              </w:rPr>
              <w:t>(A)</w:t>
            </w:r>
          </w:p>
        </w:tc>
        <w:tc>
          <w:tcPr>
            <w:tcW w:w="348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color w:val="000000"/>
                <w:sz w:val="20"/>
                <w:szCs w:val="20"/>
                <w:lang w:val="en-US"/>
              </w:rPr>
            </w:pPr>
            <w:r>
              <w:rPr>
                <w:color w:val="000000"/>
                <w:sz w:val="20"/>
                <w:szCs w:val="20"/>
              </w:rPr>
              <w:t>全年执行数（</w:t>
            </w:r>
            <w:r>
              <w:rPr>
                <w:color w:val="000000"/>
                <w:sz w:val="20"/>
                <w:szCs w:val="20"/>
                <w:lang w:val="en-US"/>
              </w:rPr>
              <w:t>B</w:t>
            </w:r>
            <w:r>
              <w:rPr>
                <w:color w:val="000000"/>
                <w:sz w:val="20"/>
                <w:szCs w:val="20"/>
              </w:rPr>
              <w:t>）</w:t>
            </w:r>
          </w:p>
        </w:tc>
        <w:tc>
          <w:tcPr>
            <w:tcW w:w="16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执行率（</w:t>
            </w:r>
            <w:r>
              <w:rPr>
                <w:color w:val="000000"/>
                <w:sz w:val="20"/>
                <w:szCs w:val="20"/>
                <w:lang w:val="en-US"/>
              </w:rPr>
              <w:t>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24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8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总量</w:t>
            </w:r>
          </w:p>
        </w:tc>
        <w:tc>
          <w:tcPr>
            <w:tcW w:w="140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10</w:t>
            </w:r>
          </w:p>
        </w:tc>
        <w:tc>
          <w:tcPr>
            <w:tcW w:w="2080" w:type="dxa"/>
            <w:gridSpan w:val="2"/>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总量</w:t>
            </w:r>
          </w:p>
        </w:tc>
        <w:tc>
          <w:tcPr>
            <w:tcW w:w="1400" w:type="dxa"/>
            <w:gridSpan w:val="2"/>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10</w:t>
            </w:r>
          </w:p>
        </w:tc>
        <w:tc>
          <w:tcPr>
            <w:tcW w:w="16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24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80" w:type="dxa"/>
            <w:tcBorders>
              <w:top w:val="nil"/>
              <w:left w:val="nil"/>
              <w:bottom w:val="single" w:color="auto" w:sz="4" w:space="0"/>
              <w:right w:val="single" w:color="auto" w:sz="4" w:space="0"/>
            </w:tcBorders>
            <w:shd w:val="clear" w:color="auto" w:fill="auto"/>
            <w:vAlign w:val="center"/>
          </w:tcPr>
          <w:p>
            <w:pPr>
              <w:jc w:val="center"/>
              <w:rPr>
                <w:color w:val="000000"/>
                <w:sz w:val="18"/>
                <w:szCs w:val="18"/>
                <w:lang w:val="en-US"/>
              </w:rPr>
            </w:pPr>
            <w:r>
              <w:rPr>
                <w:color w:val="000000"/>
                <w:sz w:val="18"/>
                <w:szCs w:val="18"/>
              </w:rPr>
              <w:t>其中：财政资金</w:t>
            </w:r>
          </w:p>
        </w:tc>
        <w:tc>
          <w:tcPr>
            <w:tcW w:w="140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10</w:t>
            </w:r>
          </w:p>
        </w:tc>
        <w:tc>
          <w:tcPr>
            <w:tcW w:w="2080" w:type="dxa"/>
            <w:gridSpan w:val="2"/>
            <w:tcBorders>
              <w:top w:val="single" w:color="auto" w:sz="4" w:space="0"/>
              <w:left w:val="nil"/>
              <w:bottom w:val="single" w:color="auto" w:sz="4" w:space="0"/>
              <w:right w:val="single" w:color="auto" w:sz="4" w:space="0"/>
            </w:tcBorders>
            <w:shd w:val="clear" w:color="auto" w:fill="auto"/>
            <w:vAlign w:val="center"/>
          </w:tcPr>
          <w:p>
            <w:pPr>
              <w:jc w:val="center"/>
              <w:rPr>
                <w:color w:val="000000"/>
                <w:sz w:val="18"/>
                <w:szCs w:val="18"/>
                <w:lang w:val="en-US"/>
              </w:rPr>
            </w:pPr>
            <w:r>
              <w:rPr>
                <w:color w:val="000000"/>
                <w:sz w:val="18"/>
                <w:szCs w:val="18"/>
              </w:rPr>
              <w:t>其中：财政资金</w:t>
            </w:r>
          </w:p>
        </w:tc>
        <w:tc>
          <w:tcPr>
            <w:tcW w:w="1400" w:type="dxa"/>
            <w:gridSpan w:val="2"/>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10</w:t>
            </w:r>
          </w:p>
        </w:tc>
        <w:tc>
          <w:tcPr>
            <w:tcW w:w="16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20" w:type="dxa"/>
            <w:vMerge w:val="restart"/>
            <w:tcBorders>
              <w:top w:val="nil"/>
              <w:left w:val="single" w:color="auto" w:sz="4" w:space="0"/>
              <w:bottom w:val="single" w:color="000000" w:sz="4" w:space="0"/>
              <w:right w:val="nil"/>
            </w:tcBorders>
            <w:shd w:val="clear" w:color="auto" w:fill="auto"/>
            <w:vAlign w:val="center"/>
          </w:tcPr>
          <w:p>
            <w:pPr>
              <w:jc w:val="center"/>
              <w:rPr>
                <w:color w:val="000000"/>
                <w:sz w:val="20"/>
                <w:szCs w:val="20"/>
                <w:lang w:val="en-US"/>
              </w:rPr>
            </w:pPr>
            <w:r>
              <w:rPr>
                <w:color w:val="000000"/>
                <w:sz w:val="20"/>
                <w:szCs w:val="20"/>
              </w:rPr>
              <w:t>年度总体目标</w:t>
            </w:r>
          </w:p>
        </w:tc>
        <w:tc>
          <w:tcPr>
            <w:tcW w:w="36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年初设定目标</w:t>
            </w:r>
          </w:p>
        </w:tc>
        <w:tc>
          <w:tcPr>
            <w:tcW w:w="3480" w:type="dxa"/>
            <w:gridSpan w:val="4"/>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全年目标实际完成情况</w:t>
            </w:r>
          </w:p>
        </w:tc>
        <w:tc>
          <w:tcPr>
            <w:tcW w:w="16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自评等级</w:t>
            </w:r>
            <w:r>
              <w:rPr>
                <w:color w:val="000000"/>
                <w:sz w:val="20"/>
                <w:szCs w:val="20"/>
                <w:lang w:val="en-US"/>
              </w:rPr>
              <w:t>(</w:t>
            </w:r>
            <w:r>
              <w:rPr>
                <w:color w:val="000000"/>
                <w:sz w:val="20"/>
                <w:szCs w:val="20"/>
              </w:rPr>
              <w:t>优良中差</w:t>
            </w:r>
            <w:r>
              <w:rPr>
                <w:color w:val="000000"/>
                <w:sz w:val="20"/>
                <w:szCs w:val="20"/>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0" w:hRule="atLeast"/>
        </w:trPr>
        <w:tc>
          <w:tcPr>
            <w:tcW w:w="520" w:type="dxa"/>
            <w:vMerge w:val="continue"/>
            <w:tcBorders>
              <w:top w:val="nil"/>
              <w:left w:val="single" w:color="auto" w:sz="4" w:space="0"/>
              <w:bottom w:val="single" w:color="000000" w:sz="4" w:space="0"/>
              <w:right w:val="nil"/>
            </w:tcBorders>
            <w:shd w:val="clear" w:color="auto" w:fill="auto"/>
            <w:vAlign w:val="center"/>
          </w:tcPr>
          <w:p>
            <w:pPr>
              <w:rPr>
                <w:rFonts w:hint="default" w:ascii="Times New Roman" w:hAnsi="Times New Roman" w:cs="Times New Roman"/>
                <w:sz w:val="20"/>
                <w:szCs w:val="20"/>
              </w:rPr>
            </w:pPr>
          </w:p>
        </w:tc>
        <w:tc>
          <w:tcPr>
            <w:tcW w:w="36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全面收集整理</w:t>
            </w:r>
            <w:r>
              <w:rPr>
                <w:color w:val="000000"/>
                <w:sz w:val="20"/>
                <w:szCs w:val="20"/>
                <w:lang w:val="en-US"/>
              </w:rPr>
              <w:t>2021</w:t>
            </w:r>
            <w:r>
              <w:rPr>
                <w:color w:val="000000"/>
                <w:sz w:val="20"/>
                <w:szCs w:val="20"/>
              </w:rPr>
              <w:t>年各行业各领域经济数据，形成统计分析，详细反映我县</w:t>
            </w:r>
            <w:r>
              <w:rPr>
                <w:color w:val="000000"/>
                <w:sz w:val="20"/>
                <w:szCs w:val="20"/>
                <w:lang w:val="en-US"/>
              </w:rPr>
              <w:t>2021</w:t>
            </w:r>
            <w:r>
              <w:rPr>
                <w:color w:val="000000"/>
                <w:sz w:val="20"/>
                <w:szCs w:val="20"/>
              </w:rPr>
              <w:t>年社会经济发展状况，将每次民意调查的调查结果汇总分析，形成调查报告，提出意见建议，报送相关部门，为县委县政府制定相关决策提供参考。</w:t>
            </w:r>
          </w:p>
        </w:tc>
        <w:tc>
          <w:tcPr>
            <w:tcW w:w="3480" w:type="dxa"/>
            <w:gridSpan w:val="4"/>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完成</w:t>
            </w:r>
            <w:r>
              <w:rPr>
                <w:color w:val="000000"/>
                <w:sz w:val="20"/>
                <w:szCs w:val="20"/>
                <w:lang w:val="en-US"/>
              </w:rPr>
              <w:t>2021</w:t>
            </w:r>
            <w:r>
              <w:rPr>
                <w:color w:val="000000"/>
                <w:sz w:val="20"/>
                <w:szCs w:val="20"/>
              </w:rPr>
              <w:t>年度各项专业调查任务，及时上报调查数据并撰写调查报告，及时向县委县政府提供社会经济指标数据，加强经济运行解读分析，为党政领导决策提供参考。</w:t>
            </w:r>
          </w:p>
        </w:tc>
        <w:tc>
          <w:tcPr>
            <w:tcW w:w="16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2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jc w:val="center"/>
              <w:rPr>
                <w:color w:val="000000"/>
                <w:sz w:val="20"/>
                <w:szCs w:val="20"/>
                <w:lang w:val="en-US"/>
              </w:rPr>
            </w:pPr>
            <w:r>
              <w:rPr>
                <w:color w:val="000000"/>
                <w:sz w:val="20"/>
                <w:szCs w:val="20"/>
              </w:rPr>
              <w:t>绩效指标</w:t>
            </w:r>
          </w:p>
        </w:tc>
        <w:tc>
          <w:tcPr>
            <w:tcW w:w="7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一级指标</w:t>
            </w:r>
          </w:p>
        </w:tc>
        <w:tc>
          <w:tcPr>
            <w:tcW w:w="148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二级指标</w:t>
            </w:r>
          </w:p>
        </w:tc>
        <w:tc>
          <w:tcPr>
            <w:tcW w:w="140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三级指标</w:t>
            </w:r>
          </w:p>
        </w:tc>
        <w:tc>
          <w:tcPr>
            <w:tcW w:w="116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年度指标值</w:t>
            </w:r>
          </w:p>
        </w:tc>
        <w:tc>
          <w:tcPr>
            <w:tcW w:w="9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实际完成值</w:t>
            </w:r>
          </w:p>
        </w:tc>
        <w:tc>
          <w:tcPr>
            <w:tcW w:w="7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设计</w:t>
            </w:r>
            <w:r>
              <w:rPr>
                <w:color w:val="000000"/>
                <w:sz w:val="20"/>
                <w:szCs w:val="20"/>
                <w:lang w:val="en-US"/>
              </w:rPr>
              <w:br w:type="textWrapping"/>
            </w:r>
            <w:r>
              <w:rPr>
                <w:color w:val="000000"/>
                <w:sz w:val="20"/>
                <w:szCs w:val="20"/>
              </w:rPr>
              <w:t>分值</w:t>
            </w:r>
          </w:p>
        </w:tc>
        <w:tc>
          <w:tcPr>
            <w:tcW w:w="68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评价</w:t>
            </w:r>
            <w:r>
              <w:rPr>
                <w:color w:val="000000"/>
                <w:sz w:val="20"/>
                <w:szCs w:val="20"/>
                <w:lang w:val="en-US"/>
              </w:rPr>
              <w:br w:type="textWrapping"/>
            </w:r>
            <w:r>
              <w:rPr>
                <w:color w:val="000000"/>
                <w:sz w:val="20"/>
                <w:szCs w:val="20"/>
              </w:rPr>
              <w:t>得分</w:t>
            </w:r>
          </w:p>
        </w:tc>
        <w:tc>
          <w:tcPr>
            <w:tcW w:w="16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未完成原因和改进措施及相关说明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20"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rPr>
                <w:rFonts w:hint="default" w:ascii="Times New Roman" w:hAnsi="Times New Roman" w:cs="Times New Roman"/>
                <w:sz w:val="20"/>
                <w:szCs w:val="20"/>
              </w:rPr>
            </w:pPr>
          </w:p>
        </w:tc>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产出指标</w:t>
            </w:r>
          </w:p>
        </w:tc>
        <w:tc>
          <w:tcPr>
            <w:tcW w:w="148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数量指标</w:t>
            </w:r>
          </w:p>
        </w:tc>
        <w:tc>
          <w:tcPr>
            <w:tcW w:w="140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聘请调查员人数</w:t>
            </w:r>
          </w:p>
        </w:tc>
        <w:tc>
          <w:tcPr>
            <w:tcW w:w="116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w:t>
            </w:r>
            <w:r>
              <w:rPr>
                <w:color w:val="000000"/>
                <w:sz w:val="20"/>
                <w:szCs w:val="20"/>
                <w:lang w:val="en-US"/>
              </w:rPr>
              <w:t>290</w:t>
            </w:r>
            <w:r>
              <w:rPr>
                <w:color w:val="000000"/>
                <w:sz w:val="20"/>
                <w:szCs w:val="20"/>
              </w:rPr>
              <w:t>人</w:t>
            </w:r>
          </w:p>
        </w:tc>
        <w:tc>
          <w:tcPr>
            <w:tcW w:w="9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lang w:val="en-US"/>
              </w:rPr>
              <w:t>300</w:t>
            </w:r>
            <w:r>
              <w:rPr>
                <w:color w:val="000000"/>
                <w:sz w:val="20"/>
                <w:szCs w:val="20"/>
              </w:rPr>
              <w:t>人</w:t>
            </w:r>
          </w:p>
        </w:tc>
        <w:tc>
          <w:tcPr>
            <w:tcW w:w="7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10</w:t>
            </w:r>
          </w:p>
        </w:tc>
        <w:tc>
          <w:tcPr>
            <w:tcW w:w="68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10</w:t>
            </w:r>
          </w:p>
        </w:tc>
        <w:tc>
          <w:tcPr>
            <w:tcW w:w="16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20"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rPr>
                <w:rFonts w:hint="default" w:ascii="Times New Roman" w:hAnsi="Times New Roman" w:cs="Times New Roman"/>
                <w:sz w:val="20"/>
                <w:szCs w:val="20"/>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8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数量指标</w:t>
            </w:r>
          </w:p>
        </w:tc>
        <w:tc>
          <w:tcPr>
            <w:tcW w:w="140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调查项目个数</w:t>
            </w:r>
          </w:p>
        </w:tc>
        <w:tc>
          <w:tcPr>
            <w:tcW w:w="116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w:t>
            </w:r>
            <w:r>
              <w:rPr>
                <w:color w:val="000000"/>
                <w:sz w:val="20"/>
                <w:szCs w:val="20"/>
                <w:lang w:val="en-US"/>
              </w:rPr>
              <w:t>5</w:t>
            </w:r>
            <w:r>
              <w:rPr>
                <w:color w:val="000000"/>
                <w:sz w:val="20"/>
                <w:szCs w:val="20"/>
              </w:rPr>
              <w:t>个</w:t>
            </w:r>
          </w:p>
        </w:tc>
        <w:tc>
          <w:tcPr>
            <w:tcW w:w="9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lang w:val="en-US"/>
              </w:rPr>
              <w:t>7</w:t>
            </w:r>
            <w:r>
              <w:rPr>
                <w:color w:val="000000"/>
                <w:sz w:val="20"/>
                <w:szCs w:val="20"/>
              </w:rPr>
              <w:t>个</w:t>
            </w:r>
          </w:p>
        </w:tc>
        <w:tc>
          <w:tcPr>
            <w:tcW w:w="7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10</w:t>
            </w:r>
          </w:p>
        </w:tc>
        <w:tc>
          <w:tcPr>
            <w:tcW w:w="68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10</w:t>
            </w:r>
          </w:p>
        </w:tc>
        <w:tc>
          <w:tcPr>
            <w:tcW w:w="16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520"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rPr>
                <w:rFonts w:hint="default" w:ascii="Times New Roman" w:hAnsi="Times New Roman" w:cs="Times New Roman"/>
                <w:sz w:val="20"/>
                <w:szCs w:val="20"/>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8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质量指标</w:t>
            </w:r>
          </w:p>
        </w:tc>
        <w:tc>
          <w:tcPr>
            <w:tcW w:w="140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统计指标数据合格率</w:t>
            </w:r>
          </w:p>
        </w:tc>
        <w:tc>
          <w:tcPr>
            <w:tcW w:w="116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w:t>
            </w:r>
            <w:r>
              <w:rPr>
                <w:color w:val="000000"/>
                <w:sz w:val="20"/>
                <w:szCs w:val="20"/>
                <w:lang w:val="en-US"/>
              </w:rPr>
              <w:t>100%</w:t>
            </w:r>
          </w:p>
        </w:tc>
        <w:tc>
          <w:tcPr>
            <w:tcW w:w="92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100%</w:t>
            </w:r>
          </w:p>
        </w:tc>
        <w:tc>
          <w:tcPr>
            <w:tcW w:w="7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10</w:t>
            </w:r>
          </w:p>
        </w:tc>
        <w:tc>
          <w:tcPr>
            <w:tcW w:w="68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10</w:t>
            </w:r>
          </w:p>
        </w:tc>
        <w:tc>
          <w:tcPr>
            <w:tcW w:w="16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20"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rPr>
                <w:rFonts w:hint="default" w:ascii="Times New Roman" w:hAnsi="Times New Roman" w:cs="Times New Roman"/>
                <w:sz w:val="20"/>
                <w:szCs w:val="20"/>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8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质量指标</w:t>
            </w:r>
          </w:p>
        </w:tc>
        <w:tc>
          <w:tcPr>
            <w:tcW w:w="140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数据采集指标完成率</w:t>
            </w:r>
          </w:p>
        </w:tc>
        <w:tc>
          <w:tcPr>
            <w:tcW w:w="116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w:t>
            </w:r>
            <w:r>
              <w:rPr>
                <w:color w:val="000000"/>
                <w:sz w:val="20"/>
                <w:szCs w:val="20"/>
                <w:lang w:val="en-US"/>
              </w:rPr>
              <w:t>100%</w:t>
            </w:r>
          </w:p>
        </w:tc>
        <w:tc>
          <w:tcPr>
            <w:tcW w:w="92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100%</w:t>
            </w:r>
          </w:p>
        </w:tc>
        <w:tc>
          <w:tcPr>
            <w:tcW w:w="7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10</w:t>
            </w:r>
          </w:p>
        </w:tc>
        <w:tc>
          <w:tcPr>
            <w:tcW w:w="68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10</w:t>
            </w:r>
          </w:p>
        </w:tc>
        <w:tc>
          <w:tcPr>
            <w:tcW w:w="16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0"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rPr>
                <w:rFonts w:hint="default" w:ascii="Times New Roman" w:hAnsi="Times New Roman" w:cs="Times New Roman"/>
                <w:sz w:val="20"/>
                <w:szCs w:val="20"/>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8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时效指标</w:t>
            </w:r>
          </w:p>
        </w:tc>
        <w:tc>
          <w:tcPr>
            <w:tcW w:w="140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对外发布统计数据及时率</w:t>
            </w:r>
          </w:p>
        </w:tc>
        <w:tc>
          <w:tcPr>
            <w:tcW w:w="116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w:t>
            </w:r>
            <w:r>
              <w:rPr>
                <w:color w:val="000000"/>
                <w:sz w:val="20"/>
                <w:szCs w:val="20"/>
                <w:lang w:val="en-US"/>
              </w:rPr>
              <w:t>98%</w:t>
            </w:r>
          </w:p>
        </w:tc>
        <w:tc>
          <w:tcPr>
            <w:tcW w:w="92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98%</w:t>
            </w:r>
          </w:p>
        </w:tc>
        <w:tc>
          <w:tcPr>
            <w:tcW w:w="7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10</w:t>
            </w:r>
          </w:p>
        </w:tc>
        <w:tc>
          <w:tcPr>
            <w:tcW w:w="68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10</w:t>
            </w:r>
          </w:p>
        </w:tc>
        <w:tc>
          <w:tcPr>
            <w:tcW w:w="16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20"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rPr>
                <w:rFonts w:hint="default" w:ascii="Times New Roman" w:hAnsi="Times New Roman" w:cs="Times New Roman"/>
                <w:sz w:val="20"/>
                <w:szCs w:val="20"/>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8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成本指标</w:t>
            </w:r>
          </w:p>
        </w:tc>
        <w:tc>
          <w:tcPr>
            <w:tcW w:w="140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调查成本</w:t>
            </w:r>
          </w:p>
        </w:tc>
        <w:tc>
          <w:tcPr>
            <w:tcW w:w="116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w:t>
            </w:r>
            <w:r>
              <w:rPr>
                <w:color w:val="000000"/>
                <w:sz w:val="20"/>
                <w:szCs w:val="20"/>
                <w:lang w:val="en-US"/>
              </w:rPr>
              <w:t>10</w:t>
            </w:r>
            <w:r>
              <w:rPr>
                <w:color w:val="000000"/>
                <w:sz w:val="20"/>
                <w:szCs w:val="20"/>
              </w:rPr>
              <w:t>万元</w:t>
            </w:r>
          </w:p>
        </w:tc>
        <w:tc>
          <w:tcPr>
            <w:tcW w:w="9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lang w:val="en-US"/>
              </w:rPr>
              <w:t>10</w:t>
            </w:r>
            <w:r>
              <w:rPr>
                <w:color w:val="000000"/>
                <w:sz w:val="20"/>
                <w:szCs w:val="20"/>
              </w:rPr>
              <w:t>万元</w:t>
            </w:r>
          </w:p>
        </w:tc>
        <w:tc>
          <w:tcPr>
            <w:tcW w:w="7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15</w:t>
            </w:r>
          </w:p>
        </w:tc>
        <w:tc>
          <w:tcPr>
            <w:tcW w:w="68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15</w:t>
            </w:r>
          </w:p>
        </w:tc>
        <w:tc>
          <w:tcPr>
            <w:tcW w:w="16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20"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rPr>
                <w:rFonts w:hint="default" w:ascii="Times New Roman" w:hAnsi="Times New Roman" w:cs="Times New Roman"/>
                <w:sz w:val="20"/>
                <w:szCs w:val="20"/>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8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c>
          <w:tcPr>
            <w:tcW w:w="140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调查补助标准</w:t>
            </w:r>
          </w:p>
        </w:tc>
        <w:tc>
          <w:tcPr>
            <w:tcW w:w="116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w:t>
            </w:r>
            <w:r>
              <w:rPr>
                <w:color w:val="000000"/>
                <w:sz w:val="20"/>
                <w:szCs w:val="20"/>
                <w:lang w:val="en-US"/>
              </w:rPr>
              <w:t>500</w:t>
            </w:r>
            <w:r>
              <w:rPr>
                <w:color w:val="000000"/>
                <w:sz w:val="20"/>
                <w:szCs w:val="20"/>
              </w:rPr>
              <w:t>元</w:t>
            </w:r>
            <w:r>
              <w:rPr>
                <w:color w:val="000000"/>
                <w:sz w:val="20"/>
                <w:szCs w:val="20"/>
                <w:lang w:val="en-US"/>
              </w:rPr>
              <w:t>/</w:t>
            </w:r>
            <w:r>
              <w:rPr>
                <w:color w:val="000000"/>
                <w:sz w:val="20"/>
                <w:szCs w:val="20"/>
              </w:rPr>
              <w:t>年</w:t>
            </w:r>
          </w:p>
        </w:tc>
        <w:tc>
          <w:tcPr>
            <w:tcW w:w="9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lang w:val="en-US"/>
              </w:rPr>
              <w:t>500</w:t>
            </w:r>
            <w:r>
              <w:rPr>
                <w:color w:val="000000"/>
                <w:sz w:val="20"/>
                <w:szCs w:val="20"/>
              </w:rPr>
              <w:t>元</w:t>
            </w:r>
            <w:r>
              <w:rPr>
                <w:color w:val="000000"/>
                <w:sz w:val="20"/>
                <w:szCs w:val="20"/>
                <w:lang w:val="en-US"/>
              </w:rPr>
              <w:t>/</w:t>
            </w:r>
            <w:r>
              <w:rPr>
                <w:color w:val="000000"/>
                <w:sz w:val="20"/>
                <w:szCs w:val="20"/>
              </w:rPr>
              <w:t>年</w:t>
            </w:r>
          </w:p>
        </w:tc>
        <w:tc>
          <w:tcPr>
            <w:tcW w:w="7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15</w:t>
            </w:r>
          </w:p>
        </w:tc>
        <w:tc>
          <w:tcPr>
            <w:tcW w:w="68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15</w:t>
            </w:r>
          </w:p>
        </w:tc>
        <w:tc>
          <w:tcPr>
            <w:tcW w:w="16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20"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rPr>
                <w:rFonts w:hint="default" w:ascii="Times New Roman" w:hAnsi="Times New Roman" w:cs="Times New Roman"/>
                <w:sz w:val="20"/>
                <w:szCs w:val="20"/>
              </w:rPr>
            </w:pPr>
          </w:p>
        </w:tc>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效益指标</w:t>
            </w:r>
          </w:p>
        </w:tc>
        <w:tc>
          <w:tcPr>
            <w:tcW w:w="148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社会效益指标</w:t>
            </w:r>
          </w:p>
        </w:tc>
        <w:tc>
          <w:tcPr>
            <w:tcW w:w="140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统计数据使用率</w:t>
            </w:r>
          </w:p>
        </w:tc>
        <w:tc>
          <w:tcPr>
            <w:tcW w:w="116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w:t>
            </w:r>
            <w:r>
              <w:rPr>
                <w:color w:val="000000"/>
                <w:sz w:val="20"/>
                <w:szCs w:val="20"/>
                <w:lang w:val="en-US"/>
              </w:rPr>
              <w:t>95%</w:t>
            </w:r>
          </w:p>
        </w:tc>
        <w:tc>
          <w:tcPr>
            <w:tcW w:w="92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95%</w:t>
            </w:r>
          </w:p>
        </w:tc>
        <w:tc>
          <w:tcPr>
            <w:tcW w:w="7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5</w:t>
            </w:r>
          </w:p>
        </w:tc>
        <w:tc>
          <w:tcPr>
            <w:tcW w:w="68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5</w:t>
            </w:r>
          </w:p>
        </w:tc>
        <w:tc>
          <w:tcPr>
            <w:tcW w:w="16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0"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rPr>
                <w:rFonts w:hint="default" w:ascii="Times New Roman" w:hAnsi="Times New Roman" w:cs="Times New Roman"/>
                <w:sz w:val="20"/>
                <w:szCs w:val="20"/>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8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c>
          <w:tcPr>
            <w:tcW w:w="140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分析研究产品运用率</w:t>
            </w:r>
          </w:p>
        </w:tc>
        <w:tc>
          <w:tcPr>
            <w:tcW w:w="116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w:t>
            </w:r>
            <w:r>
              <w:rPr>
                <w:color w:val="000000"/>
                <w:sz w:val="20"/>
                <w:szCs w:val="20"/>
                <w:lang w:val="en-US"/>
              </w:rPr>
              <w:t>95%</w:t>
            </w:r>
          </w:p>
        </w:tc>
        <w:tc>
          <w:tcPr>
            <w:tcW w:w="92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95%</w:t>
            </w:r>
          </w:p>
        </w:tc>
        <w:tc>
          <w:tcPr>
            <w:tcW w:w="7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5</w:t>
            </w:r>
          </w:p>
        </w:tc>
        <w:tc>
          <w:tcPr>
            <w:tcW w:w="68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5</w:t>
            </w:r>
          </w:p>
        </w:tc>
        <w:tc>
          <w:tcPr>
            <w:tcW w:w="16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0"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rPr>
                <w:rFonts w:hint="default" w:ascii="Times New Roman" w:hAnsi="Times New Roman" w:cs="Times New Roman"/>
                <w:sz w:val="20"/>
                <w:szCs w:val="20"/>
              </w:rPr>
            </w:pPr>
          </w:p>
        </w:tc>
        <w:tc>
          <w:tcPr>
            <w:tcW w:w="7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rPr>
              <w:t>管理指标</w:t>
            </w:r>
          </w:p>
        </w:tc>
        <w:tc>
          <w:tcPr>
            <w:tcW w:w="148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财务管理指标</w:t>
            </w:r>
          </w:p>
        </w:tc>
        <w:tc>
          <w:tcPr>
            <w:tcW w:w="140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预算执行率</w:t>
            </w:r>
          </w:p>
        </w:tc>
        <w:tc>
          <w:tcPr>
            <w:tcW w:w="116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w:t>
            </w:r>
            <w:r>
              <w:rPr>
                <w:color w:val="000000"/>
                <w:sz w:val="20"/>
                <w:szCs w:val="20"/>
                <w:lang w:val="en-US"/>
              </w:rPr>
              <w:t>100%</w:t>
            </w:r>
          </w:p>
        </w:tc>
        <w:tc>
          <w:tcPr>
            <w:tcW w:w="92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100%</w:t>
            </w:r>
          </w:p>
        </w:tc>
        <w:tc>
          <w:tcPr>
            <w:tcW w:w="7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5</w:t>
            </w:r>
          </w:p>
        </w:tc>
        <w:tc>
          <w:tcPr>
            <w:tcW w:w="68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5</w:t>
            </w:r>
          </w:p>
        </w:tc>
        <w:tc>
          <w:tcPr>
            <w:tcW w:w="16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20"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rPr>
                <w:rFonts w:hint="default" w:ascii="Times New Roman" w:hAnsi="Times New Roman" w:cs="Times New Roman"/>
                <w:sz w:val="20"/>
                <w:szCs w:val="20"/>
              </w:rPr>
            </w:pPr>
          </w:p>
        </w:tc>
        <w:tc>
          <w:tcPr>
            <w:tcW w:w="7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满意度指标</w:t>
            </w:r>
          </w:p>
        </w:tc>
        <w:tc>
          <w:tcPr>
            <w:tcW w:w="148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社会公众或服务对象满意度指标</w:t>
            </w:r>
          </w:p>
        </w:tc>
        <w:tc>
          <w:tcPr>
            <w:tcW w:w="140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使用部门对统计服务满意度</w:t>
            </w:r>
          </w:p>
        </w:tc>
        <w:tc>
          <w:tcPr>
            <w:tcW w:w="116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w:t>
            </w:r>
            <w:r>
              <w:rPr>
                <w:color w:val="000000"/>
                <w:sz w:val="20"/>
                <w:szCs w:val="20"/>
                <w:lang w:val="en-US"/>
              </w:rPr>
              <w:t>95%</w:t>
            </w:r>
          </w:p>
        </w:tc>
        <w:tc>
          <w:tcPr>
            <w:tcW w:w="92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98%</w:t>
            </w:r>
          </w:p>
        </w:tc>
        <w:tc>
          <w:tcPr>
            <w:tcW w:w="7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5</w:t>
            </w:r>
          </w:p>
        </w:tc>
        <w:tc>
          <w:tcPr>
            <w:tcW w:w="68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5</w:t>
            </w:r>
          </w:p>
        </w:tc>
        <w:tc>
          <w:tcPr>
            <w:tcW w:w="16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40" w:type="dxa"/>
            <w:gridSpan w:val="2"/>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jc w:val="center"/>
              <w:rPr>
                <w:color w:val="000000"/>
                <w:sz w:val="20"/>
                <w:szCs w:val="20"/>
                <w:lang w:val="en-US"/>
              </w:rPr>
            </w:pPr>
            <w:r>
              <w:rPr>
                <w:color w:val="000000"/>
                <w:sz w:val="20"/>
                <w:szCs w:val="20"/>
              </w:rPr>
              <w:t>合计</w:t>
            </w:r>
          </w:p>
        </w:tc>
        <w:tc>
          <w:tcPr>
            <w:tcW w:w="1480" w:type="dxa"/>
            <w:tcBorders>
              <w:top w:val="nil"/>
              <w:left w:val="nil"/>
              <w:bottom w:val="single" w:color="auto" w:sz="4" w:space="0"/>
              <w:right w:val="single" w:color="auto" w:sz="4" w:space="0"/>
            </w:tcBorders>
            <w:shd w:val="clear" w:color="auto" w:fill="auto"/>
            <w:noWrap/>
            <w:vAlign w:val="center"/>
          </w:tcPr>
          <w:p>
            <w:pPr>
              <w:rPr>
                <w:color w:val="000000"/>
                <w:sz w:val="20"/>
                <w:szCs w:val="20"/>
                <w:lang w:val="en-US"/>
              </w:rPr>
            </w:pPr>
            <w:r>
              <w:rPr>
                <w:color w:val="000000"/>
                <w:sz w:val="20"/>
                <w:szCs w:val="20"/>
              </w:rPr>
              <w:t>　</w:t>
            </w:r>
          </w:p>
        </w:tc>
        <w:tc>
          <w:tcPr>
            <w:tcW w:w="140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c>
          <w:tcPr>
            <w:tcW w:w="9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c>
          <w:tcPr>
            <w:tcW w:w="720" w:type="dxa"/>
            <w:tcBorders>
              <w:top w:val="nil"/>
              <w:left w:val="nil"/>
              <w:bottom w:val="single" w:color="auto" w:sz="4" w:space="0"/>
              <w:right w:val="single" w:color="auto" w:sz="4" w:space="0"/>
            </w:tcBorders>
            <w:shd w:val="clear" w:color="auto" w:fill="auto"/>
            <w:vAlign w:val="center"/>
          </w:tcPr>
          <w:p>
            <w:pPr>
              <w:jc w:val="center"/>
              <w:rPr>
                <w:color w:val="000000"/>
                <w:sz w:val="20"/>
                <w:szCs w:val="20"/>
                <w:lang w:val="en-US"/>
              </w:rPr>
            </w:pPr>
            <w:r>
              <w:rPr>
                <w:color w:val="000000"/>
                <w:sz w:val="20"/>
                <w:szCs w:val="20"/>
                <w:lang w:val="en-US"/>
              </w:rPr>
              <w:t>100</w:t>
            </w:r>
          </w:p>
        </w:tc>
        <w:tc>
          <w:tcPr>
            <w:tcW w:w="680" w:type="dxa"/>
            <w:tcBorders>
              <w:top w:val="nil"/>
              <w:left w:val="nil"/>
              <w:bottom w:val="single" w:color="auto" w:sz="4" w:space="0"/>
              <w:right w:val="single" w:color="auto" w:sz="4" w:space="0"/>
            </w:tcBorders>
            <w:shd w:val="clear" w:color="auto" w:fill="auto"/>
            <w:vAlign w:val="center"/>
          </w:tcPr>
          <w:p>
            <w:pPr>
              <w:jc w:val="right"/>
              <w:rPr>
                <w:color w:val="000000"/>
                <w:sz w:val="20"/>
                <w:szCs w:val="20"/>
                <w:lang w:val="en-US"/>
              </w:rPr>
            </w:pPr>
            <w:r>
              <w:rPr>
                <w:color w:val="000000"/>
                <w:sz w:val="20"/>
                <w:szCs w:val="20"/>
                <w:lang w:val="en-US"/>
              </w:rPr>
              <w:t>100</w:t>
            </w:r>
          </w:p>
        </w:tc>
        <w:tc>
          <w:tcPr>
            <w:tcW w:w="1620" w:type="dxa"/>
            <w:tcBorders>
              <w:top w:val="nil"/>
              <w:left w:val="nil"/>
              <w:bottom w:val="single" w:color="auto" w:sz="4" w:space="0"/>
              <w:right w:val="single" w:color="auto" w:sz="4" w:space="0"/>
            </w:tcBorders>
            <w:shd w:val="clear" w:color="auto" w:fill="auto"/>
            <w:vAlign w:val="center"/>
          </w:tcPr>
          <w:p>
            <w:pPr>
              <w:rPr>
                <w:color w:val="000000"/>
                <w:sz w:val="20"/>
                <w:szCs w:val="20"/>
                <w:lang w:val="en-US"/>
              </w:rPr>
            </w:pPr>
            <w:r>
              <w:rPr>
                <w:color w:val="000000"/>
                <w:sz w:val="20"/>
                <w:szCs w:val="20"/>
              </w:rPr>
              <w:t>　</w:t>
            </w:r>
          </w:p>
        </w:tc>
      </w:tr>
    </w:tbl>
    <w:p>
      <w:pPr>
        <w:pStyle w:val="2"/>
        <w:shd w:val="clear" w:fill="FFFFFF"/>
        <w:spacing w:before="0" w:beforeAutospacing="0" w:after="0" w:afterAutospacing="0" w:line="600" w:lineRule="exact"/>
        <w:ind w:left="0" w:right="0"/>
        <w:rPr>
          <w:shd w:val="clear" w:fill="FFFFFF"/>
          <w:lang w:val="en-US"/>
        </w:rPr>
      </w:pPr>
    </w:p>
    <w:p>
      <w:pPr>
        <w:pStyle w:val="2"/>
        <w:shd w:val="clear" w:fill="FFFFFF"/>
        <w:spacing w:before="0" w:beforeAutospacing="0" w:after="0" w:afterAutospacing="0" w:line="600" w:lineRule="exact"/>
        <w:ind w:left="0" w:right="0" w:firstLine="640" w:firstLineChars="200"/>
        <w:jc w:val="both"/>
        <w:rPr>
          <w:rFonts w:hint="eastAsia" w:ascii="方正黑体_GBK" w:hAnsi="方正黑体_GBK" w:eastAsia="方正黑体_GBK" w:cs="方正黑体_GBK"/>
          <w:b/>
          <w:bCs w:val="0"/>
          <w:sz w:val="32"/>
          <w:szCs w:val="32"/>
          <w:shd w:val="clear" w:fill="FFFFFF"/>
          <w:lang w:val="en-US"/>
        </w:rPr>
      </w:pPr>
      <w:r>
        <w:rPr>
          <w:rStyle w:val="5"/>
          <w:rFonts w:hint="eastAsia" w:ascii="方正黑体_GBK" w:hAnsi="宋体" w:eastAsia="方正黑体_GBK" w:cs="宋体"/>
          <w:b w:val="0"/>
          <w:bCs/>
          <w:color w:val="auto"/>
          <w:sz w:val="32"/>
          <w:szCs w:val="32"/>
          <w:shd w:val="clear" w:fill="FFFFFF"/>
          <w:lang w:eastAsia="zh-CN"/>
        </w:rPr>
        <w:t>六、专业名词解释</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（一）财政拨款收入</w:t>
      </w:r>
      <w:r>
        <w:rPr>
          <w:rFonts w:hint="eastAsia" w:ascii="方正楷体_GBK" w:hAnsi="方正楷体_GBK" w:eastAsia="方正楷体_GBK" w:cs="方正楷体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eastAsia="zh-CN"/>
        </w:rPr>
        <w:t>指本年度从本级财政部门取得的财政拨款，包括一般公共预算财政拨款和政府性基金预算财政拨款。</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（二）事业收入</w:t>
      </w:r>
      <w:r>
        <w:rPr>
          <w:rFonts w:hint="eastAsia" w:ascii="方正楷体_GBK" w:hAnsi="方正楷体_GBK" w:eastAsia="方正楷体_GBK" w:cs="方正楷体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eastAsia="zh-CN"/>
        </w:rPr>
        <w:t>指事业单位开展专业业务活动及其辅助活动取得的现金流入；事业单位收到的财政专户实际核拨的教育收费等资金在此反映。</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（三）经营收入</w:t>
      </w:r>
      <w:r>
        <w:rPr>
          <w:rFonts w:hint="eastAsia" w:ascii="方正楷体_GBK" w:hAnsi="方正楷体_GBK" w:eastAsia="方正楷体_GBK" w:cs="方正楷体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eastAsia="zh-CN"/>
        </w:rPr>
        <w:t>指事业单位在专业业务活动及其辅助活动之外开展非独立核算经营活动取得的现金流入。</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（四）其他收入</w:t>
      </w:r>
      <w:r>
        <w:rPr>
          <w:rFonts w:hint="eastAsia" w:ascii="方正楷体_GBK" w:hAnsi="方正楷体_GBK" w:eastAsia="方正楷体_GBK" w:cs="方正楷体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eastAsia="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（五）使用非财政拨款结余</w:t>
      </w:r>
      <w:r>
        <w:rPr>
          <w:rFonts w:hint="eastAsia" w:ascii="方正楷体_GBK" w:hAnsi="方正楷体_GBK" w:eastAsia="方正楷体_GBK" w:cs="方正楷体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eastAsia="zh-CN"/>
        </w:rPr>
        <w:t>指单位在当年的“财政拨款收入”、“事业收入”、“经营收入”、“其他收入”等不足以安排当年支出的情况下，使用以前年度积累的非财政拨款结余弥补本年度收支缺口的资金。</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（六）年初结转和结余</w:t>
      </w:r>
      <w:r>
        <w:rPr>
          <w:rFonts w:hint="eastAsia" w:ascii="方正楷体_GBK" w:hAnsi="方正楷体_GBK" w:eastAsia="方正楷体_GBK" w:cs="方正楷体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eastAsia="zh-CN"/>
        </w:rPr>
        <w:t>指单位上年结转本年使用的基本支出结转、项目支出结转和结余、经营结余。</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（七）结余分配</w:t>
      </w:r>
      <w:r>
        <w:rPr>
          <w:rFonts w:hint="eastAsia" w:ascii="方正楷体_GBK" w:hAnsi="方正楷体_GBK" w:eastAsia="方正楷体_GBK" w:cs="方正楷体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eastAsia="zh-CN"/>
        </w:rPr>
        <w:t>指单位按照国家有关规定，缴纳所得税、提取专用基金、转入非财政拨款结余等当年结余的分配情况。</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（八）年末结转和结余</w:t>
      </w:r>
      <w:r>
        <w:rPr>
          <w:rFonts w:hint="eastAsia" w:ascii="方正楷体_GBK" w:hAnsi="方正楷体_GBK" w:eastAsia="方正楷体_GBK" w:cs="方正楷体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eastAsia="zh-CN"/>
        </w:rPr>
        <w:t>指单位结转下年的基本支出结转、项目支出结转和结余、经营结余。</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（九）基本支出</w:t>
      </w:r>
      <w:r>
        <w:rPr>
          <w:rFonts w:hint="eastAsia" w:ascii="方正楷体_GBK" w:hAnsi="方正楷体_GBK" w:eastAsia="方正楷体_GBK" w:cs="方正楷体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eastAsia="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（十）项目支出</w:t>
      </w:r>
      <w:r>
        <w:rPr>
          <w:rFonts w:hint="eastAsia" w:ascii="方正楷体_GBK" w:hAnsi="方正楷体_GBK" w:eastAsia="方正楷体_GBK" w:cs="方正楷体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eastAsia="zh-CN"/>
        </w:rPr>
        <w:t>指在基本支出之外为完成特定行政任务和事业发展目标所发生的支出。</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（十一）经营支出</w:t>
      </w:r>
      <w:r>
        <w:rPr>
          <w:rFonts w:hint="eastAsia" w:ascii="方正楷体_GBK" w:hAnsi="方正楷体_GBK" w:eastAsia="方正楷体_GBK" w:cs="方正楷体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eastAsia="zh-CN"/>
        </w:rPr>
        <w:t>指事业单位在专业业务活动及其辅助活动之外开展非独立核算经营活动发生的支出。</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（十二）“三公”经费</w:t>
      </w:r>
      <w:r>
        <w:rPr>
          <w:rFonts w:hint="eastAsia" w:ascii="方正楷体_GBK" w:hAnsi="方正楷体_GBK" w:eastAsia="方正楷体_GBK" w:cs="方正楷体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eastAsia="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（十三）机关运行经费</w:t>
      </w:r>
      <w:r>
        <w:rPr>
          <w:rFonts w:hint="eastAsia" w:ascii="方正楷体_GBK" w:hAnsi="方正楷体_GBK" w:eastAsia="方正楷体_GBK" w:cs="方正楷体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eastAsia="zh-CN"/>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（十四）工资福利支出（支出经济分类科目类级）</w:t>
      </w:r>
      <w:r>
        <w:rPr>
          <w:rFonts w:hint="eastAsia" w:ascii="方正楷体_GBK" w:hAnsi="方正楷体_GBK" w:eastAsia="方正楷体_GBK" w:cs="方正楷体_GBK"/>
          <w:color w:val="auto"/>
          <w:sz w:val="32"/>
          <w:szCs w:val="32"/>
          <w:shd w:val="clear" w:fill="FFFFFF"/>
          <w:lang w:eastAsia="zh-CN"/>
        </w:rPr>
        <w:t>：反映</w:t>
      </w:r>
      <w:r>
        <w:rPr>
          <w:rFonts w:hint="eastAsia" w:ascii="方正仿宋_GBK" w:hAnsi="方正仿宋_GBK" w:eastAsia="方正仿宋_GBK" w:cs="方正仿宋_GBK"/>
          <w:color w:val="auto"/>
          <w:sz w:val="32"/>
          <w:szCs w:val="32"/>
          <w:shd w:val="clear" w:fill="FFFFFF"/>
          <w:lang w:eastAsia="zh-CN"/>
        </w:rPr>
        <w:t>单位开支的在职职工和编制外长期聘用人员的各类劳动报酬，以及为上述人员缴纳的各项社会保险费等。</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（十五）商品和服务支出（支出经济分类科目类级）</w:t>
      </w:r>
      <w:r>
        <w:rPr>
          <w:rFonts w:hint="eastAsia" w:ascii="方正楷体_GBK" w:hAnsi="方正楷体_GBK" w:eastAsia="方正楷体_GBK" w:cs="方正楷体_GBK"/>
          <w:color w:val="auto"/>
          <w:sz w:val="32"/>
          <w:szCs w:val="32"/>
          <w:shd w:val="clear" w:fill="FFFFFF"/>
          <w:lang w:eastAsia="zh-CN"/>
        </w:rPr>
        <w:t>：反</w:t>
      </w:r>
      <w:r>
        <w:rPr>
          <w:rFonts w:hint="eastAsia" w:ascii="方正仿宋_GBK" w:hAnsi="方正仿宋_GBK" w:eastAsia="方正仿宋_GBK" w:cs="方正仿宋_GBK"/>
          <w:color w:val="auto"/>
          <w:sz w:val="32"/>
          <w:szCs w:val="32"/>
          <w:shd w:val="clear" w:fill="FFFFFF"/>
          <w:lang w:eastAsia="zh-CN"/>
        </w:rPr>
        <w:t>映单位购买商品和服务的支出（不包括用于购置固定资产的支出、战略性和应急储备支出）。</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（十六）对个人和家庭的补助（支出经济分类科目类级）</w:t>
      </w:r>
      <w:r>
        <w:rPr>
          <w:rFonts w:hint="eastAsia" w:ascii="方正楷体_GBK" w:hAnsi="方正楷体_GBK" w:eastAsia="方正楷体_GBK" w:cs="方正楷体_GBK"/>
          <w:color w:val="auto"/>
          <w:sz w:val="32"/>
          <w:szCs w:val="32"/>
          <w:shd w:val="clear" w:fill="FFFFFF"/>
          <w:lang w:eastAsia="zh-CN"/>
        </w:rPr>
        <w:t>：</w:t>
      </w:r>
      <w:r>
        <w:rPr>
          <w:rFonts w:hint="eastAsia" w:ascii="方正仿宋_GBK" w:hAnsi="方正仿宋_GBK" w:eastAsia="方正仿宋_GBK" w:cs="方正仿宋_GBK"/>
          <w:color w:val="auto"/>
          <w:sz w:val="32"/>
          <w:szCs w:val="32"/>
          <w:shd w:val="clear" w:fill="FFFFFF"/>
          <w:lang w:eastAsia="zh-CN"/>
        </w:rPr>
        <w:t>反映用于对个人和家庭的补助支出。</w:t>
      </w:r>
    </w:p>
    <w:p>
      <w:pPr>
        <w:pStyle w:val="2"/>
        <w:shd w:val="clear" w:fill="FFFFFF"/>
        <w:spacing w:before="0" w:beforeAutospacing="0" w:after="0" w:afterAutospacing="0" w:line="600" w:lineRule="exact"/>
        <w:ind w:left="0" w:right="0" w:firstLine="643" w:firstLineChars="200"/>
        <w:jc w:val="both"/>
        <w:rPr>
          <w:rFonts w:hint="eastAsia" w:ascii="方正仿宋_GBK" w:hAnsi="方正仿宋_GBK" w:eastAsia="方正仿宋_GBK" w:cs="方正仿宋_GBK"/>
          <w:sz w:val="32"/>
          <w:szCs w:val="32"/>
          <w:shd w:val="clear" w:fill="FFFFFF"/>
          <w:lang w:val="en-US"/>
        </w:rPr>
      </w:pPr>
      <w:r>
        <w:rPr>
          <w:rFonts w:hint="eastAsia" w:ascii="方正楷体_GBK" w:hAnsi="方正楷体_GBK" w:eastAsia="方正楷体_GBK" w:cs="方正楷体_GBK"/>
          <w:b/>
          <w:bCs/>
          <w:color w:val="auto"/>
          <w:sz w:val="32"/>
          <w:szCs w:val="32"/>
          <w:shd w:val="clear" w:fill="FFFFFF"/>
          <w:lang w:eastAsia="zh-CN"/>
        </w:rPr>
        <w:t>（十七）其他资本性支出（支出经济分类科目类级）</w:t>
      </w:r>
      <w:r>
        <w:rPr>
          <w:rFonts w:hint="eastAsia" w:ascii="方正楷体_GBK" w:hAnsi="方正楷体_GBK" w:eastAsia="方正楷体_GBK" w:cs="方正楷体_GBK"/>
          <w:color w:val="auto"/>
          <w:sz w:val="32"/>
          <w:szCs w:val="32"/>
          <w:shd w:val="clear" w:fill="FFFFFF"/>
          <w:lang w:eastAsia="zh-CN"/>
        </w:rPr>
        <w:t>：反</w:t>
      </w:r>
      <w:r>
        <w:rPr>
          <w:rFonts w:hint="eastAsia" w:ascii="方正仿宋_GBK" w:hAnsi="方正仿宋_GBK" w:eastAsia="方正仿宋_GBK" w:cs="方正仿宋_GBK"/>
          <w:color w:val="auto"/>
          <w:sz w:val="32"/>
          <w:szCs w:val="32"/>
          <w:shd w:val="clear" w:fill="FFFFFF"/>
          <w:lang w:eastAsia="zh-CN"/>
        </w:rPr>
        <w:t>映非各级发展与改革部门集中安排的用于购置固定资产、战略性和应急性储备、土地和无形资产，以及构建基础设施、大型修缮和财政支持企业更新改造所发生的支出。</w:t>
      </w:r>
    </w:p>
    <w:p>
      <w:pPr>
        <w:pStyle w:val="2"/>
        <w:shd w:val="clear" w:fill="FFFFFF"/>
        <w:spacing w:before="0" w:beforeAutospacing="0" w:after="0" w:afterAutospacing="0" w:line="600" w:lineRule="exact"/>
        <w:ind w:left="0" w:right="0" w:firstLine="640" w:firstLineChars="200"/>
        <w:jc w:val="both"/>
        <w:rPr>
          <w:rFonts w:hint="eastAsia" w:ascii="方正黑体_GBK" w:hAnsi="方正黑体_GBK" w:eastAsia="方正黑体_GBK" w:cs="方正黑体_GBK"/>
          <w:sz w:val="32"/>
          <w:szCs w:val="32"/>
          <w:shd w:val="clear" w:fill="FFFFFF"/>
          <w:lang w:val="en-US"/>
        </w:rPr>
      </w:pPr>
      <w:r>
        <w:rPr>
          <w:rFonts w:hint="eastAsia" w:ascii="方正黑体_GBK" w:hAnsi="方正黑体_GBK" w:eastAsia="方正黑体_GBK" w:cs="方正黑体_GBK"/>
          <w:bCs/>
          <w:color w:val="auto"/>
          <w:sz w:val="32"/>
          <w:szCs w:val="32"/>
          <w:shd w:val="clear" w:fill="FFFFFF"/>
          <w:lang w:eastAsia="zh-CN"/>
        </w:rPr>
        <w:t>七、决算公开联系方式及信息反馈渠道</w:t>
      </w:r>
    </w:p>
    <w:p>
      <w:pPr>
        <w:pStyle w:val="2"/>
        <w:shd w:val="clear" w:fill="FFFFFF"/>
        <w:spacing w:before="0" w:beforeAutospacing="0" w:after="0" w:afterAutospacing="0" w:line="600" w:lineRule="exact"/>
        <w:ind w:left="0" w:right="0" w:firstLine="640" w:firstLineChars="200"/>
        <w:jc w:val="both"/>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color w:val="auto"/>
          <w:sz w:val="32"/>
          <w:szCs w:val="32"/>
          <w:shd w:val="clear" w:fill="FFFFFF"/>
          <w:lang w:eastAsia="zh-CN"/>
        </w:rPr>
        <w:t>本单位决算公开信息反馈和联系方式：</w:t>
      </w:r>
      <w:r>
        <w:rPr>
          <w:rFonts w:hint="eastAsia" w:ascii="方正仿宋_GBK" w:hAnsi="方正仿宋_GBK" w:eastAsia="方正仿宋_GBK" w:cs="方正仿宋_GBK"/>
          <w:color w:val="auto"/>
          <w:sz w:val="32"/>
          <w:szCs w:val="32"/>
          <w:shd w:val="clear" w:fill="FFFFFF"/>
          <w:lang w:val="en-US"/>
        </w:rPr>
        <w:t>023-73332105</w:t>
      </w:r>
      <w:r>
        <w:rPr>
          <w:rFonts w:hint="eastAsia" w:ascii="方正仿宋_GBK" w:hAnsi="方正仿宋_GBK" w:eastAsia="方正仿宋_GBK" w:cs="方正仿宋_GBK"/>
          <w:color w:val="auto"/>
          <w:sz w:val="32"/>
          <w:szCs w:val="32"/>
          <w:shd w:val="clear" w:fill="FFFFFF"/>
          <w:lang w:eastAsia="zh-CN"/>
        </w:rPr>
        <w:t>。</w:t>
      </w:r>
    </w:p>
    <w:p/>
    <w:sectPr>
      <w:pgSz w:w="11915" w:h="16840"/>
      <w:pgMar w:top="2098" w:right="1519" w:bottom="1984"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OWNjZDc4NTUwMGQzYmM4NGIzOGMyODg3ZDc3ZWMifQ=="/>
  </w:docVars>
  <w:rsids>
    <w:rsidRoot w:val="14211423"/>
    <w:rsid w:val="14211423"/>
    <w:rsid w:val="77882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5">
    <w:name w:val="Strong"/>
    <w:basedOn w:val="4"/>
    <w:qFormat/>
    <w:uiPriority w:val="22"/>
    <w:rPr>
      <w:b/>
    </w:rPr>
  </w:style>
  <w:style w:type="paragraph" w:customStyle="1" w:styleId="6">
    <w:name w:val="msolistparagraph"/>
    <w:basedOn w:val="1"/>
    <w:hidden/>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7163</Words>
  <Characters>7750</Characters>
  <Lines>0</Lines>
  <Paragraphs>0</Paragraphs>
  <TotalTime>10</TotalTime>
  <ScaleCrop>false</ScaleCrop>
  <LinksUpToDate>false</LinksUpToDate>
  <CharactersWithSpaces>7780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2022-10-24T08:11:00Z</dcterms:created>
  <dc:creator>西府海棠</dc:creator>
  <cp:lastModifiedBy>西府海棠</cp:lastModifiedBy>
  <dcterms:modified xsi:type="dcterms:W3CDTF">2022-10-24T08:21:24Z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DC88593BC68F498CA8FB2431A73E86F4</vt:lpwstr>
  </property>
</Properties>
</file>