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方正小标宋简体"/>
          <w:color w:val="FF0000"/>
          <w:w w:val="50"/>
          <w:sz w:val="90"/>
          <w:szCs w:val="90"/>
        </w:rPr>
      </w:pPr>
      <w:bookmarkStart w:id="0" w:name="文号"/>
      <w:r>
        <w:rPr>
          <w:rFonts w:hint="eastAsia" w:ascii="Times New Roman" w:hAnsi="Times New Roman" w:eastAsia="方正小标宋简体"/>
          <w:color w:val="FF0000"/>
          <w:w w:val="50"/>
          <w:sz w:val="90"/>
          <w:szCs w:val="90"/>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962025</wp:posOffset>
                </wp:positionV>
                <wp:extent cx="5878830" cy="0"/>
                <wp:effectExtent l="0" t="13970" r="1270" b="24130"/>
                <wp:wrapNone/>
                <wp:docPr id="1" name="直接连接符 1"/>
                <wp:cNvGraphicFramePr/>
                <a:graphic xmlns:a="http://schemas.openxmlformats.org/drawingml/2006/main">
                  <a:graphicData uri="http://schemas.microsoft.com/office/word/2010/wordprocessingShape">
                    <wps:wsp>
                      <wps:cNvCnPr/>
                      <wps:spPr>
                        <a:xfrm>
                          <a:off x="0" y="0"/>
                          <a:ext cx="587883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75.75pt;height:0pt;width:462.9pt;mso-position-horizontal:center;z-index:251659264;mso-width-relative:page;mso-height-relative:page;" filled="f" stroked="t" coordsize="21600,21600" o:gfxdata="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EmvyP9UAAAAIAQAADwAAAAAAAAABACAAAAAiAAAAZHJzL2Rvd25yZXYueG1sUEsB&#10;AhQAFAAAAAgAh07iQFcpocf4AQAA5QMAAA4AAAAAAAAAAQAgAAAAJAEAAGRycy9lMm9Eb2MueG1s&#10;UEsFBgAAAAAGAAYAWQEAAI4FAAAAAA==&#10;">
                <v:fill on="f" focussize="0,0"/>
                <v:stroke weight="2.25pt" color="#FF0000" joinstyle="round"/>
                <v:imagedata o:title=""/>
                <o:lock v:ext="edit" aspectratio="f"/>
              </v:line>
            </w:pict>
          </mc:Fallback>
        </mc:AlternateContent>
      </w:r>
      <w:r>
        <w:rPr>
          <w:rFonts w:hint="eastAsia" w:ascii="Times New Roman" w:hAnsi="Times New Roman" w:eastAsia="方正小标宋简体"/>
          <w:color w:val="FF0000"/>
          <w:w w:val="50"/>
          <w:sz w:val="90"/>
          <w:szCs w:val="90"/>
        </w:rPr>
        <w:t>重庆市建设项目环境影响评价文件批准书</w:t>
      </w:r>
    </w:p>
    <w:bookmarkEnd w:id="0"/>
    <w:p>
      <w:pPr>
        <w:rPr>
          <w:rFonts w:hint="eastAsia" w:ascii="Times New Roman" w:hAnsi="Times New Roman" w:eastAsia="方正仿宋_GBK" w:cs="Times New Roman"/>
          <w:bCs/>
          <w:color w:val="000000"/>
          <w:kern w:val="2"/>
          <w:sz w:val="32"/>
          <w:szCs w:val="32"/>
          <w:lang w:val="en-US" w:eastAsia="zh-CN" w:bidi="ar-SA"/>
        </w:rPr>
      </w:pPr>
    </w:p>
    <w:p>
      <w:pPr>
        <w:pStyle w:val="3"/>
        <w:snapToGrid w:val="0"/>
        <w:spacing w:line="600" w:lineRule="exact"/>
        <w:jc w:val="center"/>
        <w:rPr>
          <w:rFonts w:hint="eastAsia" w:ascii="Times New Roman" w:hAnsi="Times New Roman" w:eastAsia="方正仿宋_GBK" w:cs="Times New Roman"/>
          <w:bCs/>
          <w:color w:val="000000"/>
          <w:kern w:val="2"/>
          <w:sz w:val="32"/>
          <w:szCs w:val="32"/>
          <w:lang w:val="en-US" w:eastAsia="zh-CN" w:bidi="ar-SA"/>
        </w:rPr>
      </w:pPr>
      <w:r>
        <w:rPr>
          <w:rFonts w:hint="eastAsia" w:ascii="Times New Roman" w:hAnsi="Times New Roman" w:eastAsia="方正仿宋_GBK" w:cs="Times New Roman"/>
          <w:bCs/>
          <w:color w:val="000000"/>
          <w:kern w:val="2"/>
          <w:sz w:val="32"/>
          <w:szCs w:val="32"/>
          <w:lang w:val="en-US" w:eastAsia="zh-CN" w:bidi="ar-SA"/>
        </w:rPr>
        <w:t>渝（石）环准〔202</w:t>
      </w:r>
      <w:r>
        <w:rPr>
          <w:rFonts w:hint="eastAsia" w:eastAsia="方正仿宋_GBK" w:cs="Times New Roman"/>
          <w:bCs/>
          <w:color w:val="000000"/>
          <w:kern w:val="2"/>
          <w:sz w:val="32"/>
          <w:szCs w:val="32"/>
          <w:lang w:val="en-US" w:eastAsia="zh-CN" w:bidi="ar-SA"/>
        </w:rPr>
        <w:t>3</w:t>
      </w:r>
      <w:r>
        <w:rPr>
          <w:rFonts w:hint="eastAsia" w:ascii="Times New Roman" w:hAnsi="Times New Roman" w:eastAsia="方正仿宋_GBK" w:cs="Times New Roman"/>
          <w:bCs/>
          <w:color w:val="000000"/>
          <w:kern w:val="2"/>
          <w:sz w:val="32"/>
          <w:szCs w:val="32"/>
          <w:lang w:val="en-US" w:eastAsia="zh-CN" w:bidi="ar-SA"/>
        </w:rPr>
        <w:t>〕0</w:t>
      </w:r>
      <w:r>
        <w:rPr>
          <w:rFonts w:hint="eastAsia" w:eastAsia="方正仿宋_GBK" w:cs="Times New Roman"/>
          <w:bCs/>
          <w:color w:val="000000"/>
          <w:kern w:val="2"/>
          <w:sz w:val="32"/>
          <w:szCs w:val="32"/>
          <w:lang w:val="en-US" w:eastAsia="zh-CN" w:bidi="ar-SA"/>
        </w:rPr>
        <w:t>17</w:t>
      </w:r>
      <w:r>
        <w:rPr>
          <w:rFonts w:hint="eastAsia" w:ascii="Times New Roman" w:hAnsi="Times New Roman" w:eastAsia="方正仿宋_GBK" w:cs="Times New Roman"/>
          <w:bCs/>
          <w:color w:val="000000"/>
          <w:kern w:val="2"/>
          <w:sz w:val="32"/>
          <w:szCs w:val="32"/>
          <w:lang w:val="en-US" w:eastAsia="zh-CN" w:bidi="ar-SA"/>
        </w:rPr>
        <w:t>号</w:t>
      </w:r>
    </w:p>
    <w:p>
      <w:pPr>
        <w:keepNext w:val="0"/>
        <w:keepLines w:val="0"/>
        <w:pageBreakBefore w:val="0"/>
        <w:widowControl w:val="0"/>
        <w:kinsoku/>
        <w:wordWrap/>
        <w:overflowPunct/>
        <w:topLinePunct w:val="0"/>
        <w:autoSpaceDE/>
        <w:autoSpaceDN/>
        <w:bidi w:val="0"/>
        <w:adjustRightInd/>
        <w:snapToGrid/>
        <w:spacing w:line="600" w:lineRule="exact"/>
        <w:ind w:right="-34"/>
        <w:textAlignment w:val="auto"/>
        <w:rPr>
          <w:rFonts w:hint="eastAsia" w:ascii="Times New Roman" w:hAnsi="Times New Roman" w:eastAsia="方正仿宋_GBK" w:cs="Times New Roman"/>
          <w:bCs/>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right="-34"/>
        <w:textAlignment w:val="auto"/>
        <w:rPr>
          <w:rFonts w:hint="eastAsia" w:ascii="Times New Roman" w:hAnsi="Times New Roman" w:eastAsia="方正仿宋_GBK" w:cs="Times New Roman"/>
          <w:bCs/>
          <w:color w:val="000000"/>
          <w:kern w:val="2"/>
          <w:sz w:val="32"/>
          <w:szCs w:val="32"/>
          <w:lang w:val="en-US" w:eastAsia="zh-CN" w:bidi="ar-SA"/>
        </w:rPr>
      </w:pPr>
      <w:r>
        <w:rPr>
          <w:rFonts w:hint="eastAsia" w:ascii="Times New Roman" w:hAnsi="Times New Roman" w:eastAsia="方正仿宋_GBK" w:cs="Times New Roman"/>
          <w:bCs/>
          <w:color w:val="000000"/>
          <w:kern w:val="2"/>
          <w:sz w:val="32"/>
          <w:szCs w:val="32"/>
          <w:lang w:val="en-US" w:eastAsia="zh-CN" w:bidi="ar-SA"/>
        </w:rPr>
        <w:t>重庆市龙泰电力有限公司：</w:t>
      </w:r>
    </w:p>
    <w:p>
      <w:pPr>
        <w:keepNext w:val="0"/>
        <w:keepLines w:val="0"/>
        <w:pageBreakBefore w:val="0"/>
        <w:widowControl w:val="0"/>
        <w:kinsoku/>
        <w:wordWrap/>
        <w:overflowPunct/>
        <w:topLinePunct w:val="0"/>
        <w:autoSpaceDE/>
        <w:autoSpaceDN/>
        <w:bidi w:val="0"/>
        <w:adjustRightInd/>
        <w:snapToGrid/>
        <w:spacing w:line="600" w:lineRule="exact"/>
        <w:ind w:right="-34" w:firstLine="632" w:firstLineChars="200"/>
        <w:textAlignment w:val="auto"/>
        <w:rPr>
          <w:rFonts w:hint="eastAsia" w:ascii="Times New Roman" w:hAnsi="Times New Roman" w:eastAsia="方正仿宋_GBK" w:cs="Times New Roman"/>
          <w:bCs/>
          <w:color w:val="000000"/>
          <w:kern w:val="2"/>
          <w:sz w:val="32"/>
          <w:szCs w:val="32"/>
          <w:lang w:val="en-US" w:eastAsia="zh-CN" w:bidi="ar-SA"/>
        </w:rPr>
      </w:pPr>
      <w:r>
        <w:rPr>
          <w:rFonts w:hint="eastAsia" w:ascii="Times New Roman" w:hAnsi="Times New Roman" w:eastAsia="方正仿宋_GBK" w:cs="Times New Roman"/>
          <w:bCs/>
          <w:color w:val="000000"/>
          <w:kern w:val="2"/>
          <w:sz w:val="32"/>
          <w:szCs w:val="32"/>
          <w:lang w:val="en-US" w:eastAsia="zh-CN" w:bidi="ar-SA"/>
        </w:rPr>
        <w:t>你单位报送的</w:t>
      </w:r>
      <w:bookmarkStart w:id="2" w:name="_GoBack"/>
      <w:r>
        <w:rPr>
          <w:rFonts w:hint="eastAsia" w:ascii="Times New Roman" w:hAnsi="Times New Roman" w:eastAsia="方正仿宋_GBK" w:cs="Times New Roman"/>
          <w:bCs/>
          <w:color w:val="000000"/>
          <w:kern w:val="2"/>
          <w:sz w:val="32"/>
          <w:szCs w:val="32"/>
          <w:lang w:val="en-US" w:eastAsia="zh-CN" w:bidi="ar-SA"/>
        </w:rPr>
        <w:t>重庆市龙泰电力有限公司藤子沟生态放流设施完善项目</w:t>
      </w:r>
      <w:bookmarkEnd w:id="2"/>
      <w:r>
        <w:rPr>
          <w:rFonts w:hint="eastAsia" w:eastAsia="方正仿宋_GBK" w:cs="Times New Roman"/>
          <w:bCs/>
          <w:color w:val="000000"/>
          <w:kern w:val="2"/>
          <w:sz w:val="32"/>
          <w:szCs w:val="32"/>
          <w:lang w:val="en-US" w:eastAsia="zh-CN" w:bidi="ar-SA"/>
        </w:rPr>
        <w:t>（项目代码：2207-500240-07-01-746141）</w:t>
      </w:r>
      <w:r>
        <w:rPr>
          <w:rFonts w:hint="eastAsia" w:ascii="Times New Roman" w:hAnsi="Times New Roman" w:eastAsia="方正仿宋_GBK" w:cs="Times New Roman"/>
          <w:bCs/>
          <w:color w:val="000000"/>
          <w:kern w:val="2"/>
          <w:sz w:val="32"/>
          <w:szCs w:val="32"/>
          <w:lang w:val="en-US" w:eastAsia="zh-CN" w:bidi="ar-SA"/>
        </w:rPr>
        <w:t>环评文件及相关报批申请材料收悉，经研究，现审批如下：</w:t>
      </w:r>
    </w:p>
    <w:p>
      <w:pPr>
        <w:keepNext w:val="0"/>
        <w:keepLines w:val="0"/>
        <w:pageBreakBefore w:val="0"/>
        <w:widowControl w:val="0"/>
        <w:kinsoku/>
        <w:wordWrap/>
        <w:overflowPunct/>
        <w:topLinePunct w:val="0"/>
        <w:autoSpaceDE/>
        <w:autoSpaceDN/>
        <w:bidi w:val="0"/>
        <w:adjustRightInd/>
        <w:snapToGrid/>
        <w:spacing w:line="600" w:lineRule="exact"/>
        <w:ind w:right="-34" w:firstLine="632" w:firstLineChars="200"/>
        <w:textAlignment w:val="auto"/>
        <w:rPr>
          <w:rFonts w:hint="eastAsia" w:ascii="Times New Roman" w:hAnsi="Times New Roman" w:eastAsia="方正仿宋_GBK" w:cs="Times New Roman"/>
          <w:bCs/>
          <w:color w:val="000000"/>
          <w:kern w:val="2"/>
          <w:sz w:val="32"/>
          <w:szCs w:val="32"/>
          <w:lang w:val="en-US" w:eastAsia="zh-CN" w:bidi="ar-SA"/>
        </w:rPr>
      </w:pPr>
      <w:r>
        <w:rPr>
          <w:rFonts w:hint="eastAsia" w:ascii="Times New Roman" w:hAnsi="Times New Roman" w:eastAsia="方正仿宋_GBK" w:cs="Times New Roman"/>
          <w:bCs/>
          <w:color w:val="000000"/>
          <w:kern w:val="2"/>
          <w:sz w:val="32"/>
          <w:szCs w:val="32"/>
          <w:lang w:val="en-US" w:eastAsia="zh-CN" w:bidi="ar-SA"/>
        </w:rPr>
        <w:t>一、根据《中华人民</w:t>
      </w:r>
      <w:bookmarkStart w:id="1" w:name="_Hlt132683890"/>
      <w:bookmarkEnd w:id="1"/>
      <w:r>
        <w:rPr>
          <w:rFonts w:hint="eastAsia" w:ascii="Times New Roman" w:hAnsi="Times New Roman" w:eastAsia="方正仿宋_GBK" w:cs="Times New Roman"/>
          <w:bCs/>
          <w:color w:val="000000"/>
          <w:kern w:val="2"/>
          <w:sz w:val="32"/>
          <w:szCs w:val="32"/>
          <w:lang w:val="en-US" w:eastAsia="zh-CN" w:bidi="ar-SA"/>
        </w:rPr>
        <w:t>共和国环境影响评价法》等有关法律法规的规定，原则同意中煤科工重庆设计研究院（集团）有限公司（统一社会信用代码：915000002028031195）编写的该项目环境影响报告</w:t>
      </w:r>
      <w:r>
        <w:rPr>
          <w:rFonts w:hint="eastAsia" w:eastAsia="方正仿宋_GBK" w:cs="Times New Roman"/>
          <w:bCs/>
          <w:color w:val="000000"/>
          <w:kern w:val="2"/>
          <w:sz w:val="32"/>
          <w:szCs w:val="32"/>
          <w:lang w:val="en-US" w:eastAsia="zh-CN" w:bidi="ar-SA"/>
        </w:rPr>
        <w:t>书</w:t>
      </w:r>
      <w:r>
        <w:rPr>
          <w:rFonts w:hint="eastAsia" w:ascii="Times New Roman" w:hAnsi="Times New Roman" w:eastAsia="方正仿宋_GBK" w:cs="Times New Roman"/>
          <w:bCs/>
          <w:color w:val="000000"/>
          <w:kern w:val="2"/>
          <w:sz w:val="32"/>
          <w:szCs w:val="32"/>
          <w:lang w:val="en-US" w:eastAsia="zh-CN" w:bidi="ar-SA"/>
        </w:rPr>
        <w:t>结论及其提出的环境保护措施，批准该项目在重庆市石柱县三河镇泥田村</w:t>
      </w:r>
      <w:r>
        <w:rPr>
          <w:rFonts w:hint="eastAsia" w:eastAsia="方正仿宋_GBK" w:cs="Times New Roman"/>
          <w:bCs/>
          <w:color w:val="000000"/>
          <w:kern w:val="2"/>
          <w:sz w:val="32"/>
          <w:szCs w:val="32"/>
          <w:lang w:val="en-US" w:eastAsia="zh-CN" w:bidi="ar-SA"/>
        </w:rPr>
        <w:t>建设</w:t>
      </w:r>
      <w:r>
        <w:rPr>
          <w:rFonts w:hint="eastAsia" w:ascii="Times New Roman" w:hAnsi="Times New Roman" w:eastAsia="方正仿宋_GBK" w:cs="Times New Roman"/>
          <w:bCs/>
          <w:color w:val="00000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right="-34" w:firstLine="632" w:firstLineChars="200"/>
        <w:textAlignment w:val="auto"/>
        <w:rPr>
          <w:rFonts w:hint="eastAsia" w:ascii="Times New Roman" w:hAnsi="Times New Roman" w:eastAsia="方正仿宋_GBK" w:cs="Times New Roman"/>
          <w:bCs/>
          <w:color w:val="000000"/>
          <w:kern w:val="2"/>
          <w:sz w:val="32"/>
          <w:szCs w:val="32"/>
          <w:lang w:val="en-US" w:eastAsia="zh-CN" w:bidi="ar-SA"/>
        </w:rPr>
      </w:pPr>
      <w:r>
        <w:rPr>
          <w:rFonts w:hint="eastAsia" w:ascii="Times New Roman" w:hAnsi="Times New Roman" w:eastAsia="方正仿宋_GBK" w:cs="Times New Roman"/>
          <w:bCs/>
          <w:color w:val="000000"/>
          <w:kern w:val="2"/>
          <w:sz w:val="32"/>
          <w:szCs w:val="32"/>
          <w:lang w:val="en-US" w:eastAsia="zh-CN" w:bidi="ar-SA"/>
        </w:rPr>
        <w:t>二、项目主要建设内容及规模：生态放流设施完善项目包括生态放流管、生态机组和回流渠道三部分。生态放流管：从已有引水管道上管桥入隧洞处（藤子沟水库坝下约1.76km左岸，高程665.0m）左侧开口截流取水，向上游侧敷设压力钢管至原四方石电站厂房处（藤子沟水库坝下约1.37km左岸，高程657.20m），放流经消能后排入原四方石水电站引水渠内。工程由压力钢管、消能放流口等组成，总长400.0m，采用DN800mm焊接钢管，生态泄放流量为1.485m³/s。生态机组：在生态放流管末端设置岔管连接生态机组，配置一台1250KW卧轴混流式发电机组，最大水头113.00m，最小水头61.00m，额定水头105.00m。年平均发电量为802.7万</w:t>
      </w:r>
      <w:r>
        <w:rPr>
          <w:rFonts w:hint="eastAsia" w:eastAsia="方正仿宋_GBK" w:cs="Times New Roman"/>
          <w:bCs/>
          <w:color w:val="000000"/>
          <w:kern w:val="2"/>
          <w:sz w:val="32"/>
          <w:szCs w:val="32"/>
          <w:lang w:val="en-US" w:eastAsia="zh-CN" w:bidi="ar-SA"/>
        </w:rPr>
        <w:t>kW</w:t>
      </w:r>
      <w:r>
        <w:rPr>
          <w:rFonts w:hint="eastAsia" w:ascii="Times New Roman" w:hAnsi="Times New Roman" w:eastAsia="方正仿宋_GBK" w:cs="Times New Roman"/>
          <w:bCs/>
          <w:color w:val="000000"/>
          <w:kern w:val="2"/>
          <w:sz w:val="32"/>
          <w:szCs w:val="32"/>
          <w:lang w:val="en-US" w:eastAsia="zh-CN" w:bidi="ar-SA"/>
        </w:rPr>
        <w:t>·h，相应装机年利用小时为6421h（其余时段为设备检修时间，此时生态流量通过放流管泄放）。回流渠道：生态流量经消能后排入原四方石水电站引水渠，向上游引至原四方石水电站拦水堰处（藤子沟水库坝下约0.43km，高程665.0m），再排入河道，利用拦水堰形成的回水（约0.30km）回流至藤子沟坝下水垫塘处</w:t>
      </w:r>
      <w:r>
        <w:rPr>
          <w:rFonts w:hint="eastAsia" w:eastAsia="方正仿宋_GBK" w:cs="Times New Roman"/>
          <w:bCs/>
          <w:color w:val="000000"/>
          <w:kern w:val="2"/>
          <w:sz w:val="32"/>
          <w:szCs w:val="32"/>
          <w:lang w:val="en-US" w:eastAsia="zh-CN" w:bidi="ar-SA"/>
        </w:rPr>
        <w:t>。</w:t>
      </w:r>
      <w:r>
        <w:rPr>
          <w:rFonts w:hint="eastAsia" w:ascii="Times New Roman" w:hAnsi="Times New Roman" w:eastAsia="方正仿宋_GBK" w:cs="Times New Roman"/>
          <w:bCs/>
          <w:color w:val="000000"/>
          <w:kern w:val="2"/>
          <w:sz w:val="32"/>
          <w:szCs w:val="32"/>
          <w:lang w:val="en-US" w:eastAsia="zh-CN" w:bidi="ar-SA"/>
        </w:rPr>
        <w:t>回流渠道长1033.7m，在渠道排放口处设置量水设施、视频监测系统等。</w:t>
      </w:r>
    </w:p>
    <w:p>
      <w:pPr>
        <w:keepNext w:val="0"/>
        <w:keepLines w:val="0"/>
        <w:pageBreakBefore w:val="0"/>
        <w:widowControl w:val="0"/>
        <w:kinsoku/>
        <w:wordWrap/>
        <w:overflowPunct/>
        <w:topLinePunct w:val="0"/>
        <w:autoSpaceDE/>
        <w:autoSpaceDN/>
        <w:bidi w:val="0"/>
        <w:adjustRightInd/>
        <w:snapToGrid/>
        <w:spacing w:line="600" w:lineRule="exact"/>
        <w:ind w:right="-34" w:firstLine="632" w:firstLineChars="200"/>
        <w:textAlignment w:val="auto"/>
        <w:rPr>
          <w:rFonts w:hint="eastAsia" w:ascii="Times New Roman" w:hAnsi="Times New Roman" w:eastAsia="方正仿宋_GBK" w:cs="Times New Roman"/>
          <w:bCs/>
          <w:color w:val="000000"/>
          <w:kern w:val="2"/>
          <w:sz w:val="32"/>
          <w:szCs w:val="32"/>
          <w:lang w:val="en-US" w:eastAsia="zh-CN" w:bidi="ar-SA"/>
        </w:rPr>
      </w:pPr>
      <w:r>
        <w:rPr>
          <w:rFonts w:hint="eastAsia" w:ascii="Times New Roman" w:hAnsi="Times New Roman" w:eastAsia="方正仿宋_GBK" w:cs="Times New Roman"/>
          <w:bCs/>
          <w:color w:val="000000"/>
          <w:kern w:val="2"/>
          <w:sz w:val="32"/>
          <w:szCs w:val="32"/>
          <w:lang w:val="en-US" w:eastAsia="zh-CN" w:bidi="ar-SA"/>
        </w:rPr>
        <w:t>项目总投资1698.85万元，其中环保投资36.50万元。</w:t>
      </w:r>
    </w:p>
    <w:p>
      <w:pPr>
        <w:keepNext w:val="0"/>
        <w:keepLines w:val="0"/>
        <w:pageBreakBefore w:val="0"/>
        <w:widowControl w:val="0"/>
        <w:kinsoku/>
        <w:wordWrap/>
        <w:overflowPunct/>
        <w:topLinePunct w:val="0"/>
        <w:autoSpaceDE/>
        <w:autoSpaceDN/>
        <w:bidi w:val="0"/>
        <w:adjustRightInd/>
        <w:snapToGrid/>
        <w:spacing w:line="600" w:lineRule="exact"/>
        <w:ind w:right="-34" w:firstLine="632" w:firstLineChars="200"/>
        <w:textAlignment w:val="auto"/>
        <w:rPr>
          <w:rFonts w:hint="eastAsia" w:ascii="Times New Roman" w:hAnsi="Times New Roman" w:eastAsia="方正仿宋_GBK" w:cs="Times New Roman"/>
          <w:bCs/>
          <w:color w:val="000000"/>
          <w:kern w:val="2"/>
          <w:sz w:val="32"/>
          <w:szCs w:val="32"/>
          <w:lang w:val="en-US" w:eastAsia="zh-CN" w:bidi="ar-SA"/>
        </w:rPr>
      </w:pPr>
      <w:r>
        <w:rPr>
          <w:rFonts w:hint="eastAsia" w:ascii="Times New Roman" w:hAnsi="Times New Roman" w:eastAsia="方正仿宋_GBK" w:cs="Times New Roman"/>
          <w:bCs/>
          <w:color w:val="000000"/>
          <w:kern w:val="2"/>
          <w:sz w:val="32"/>
          <w:szCs w:val="32"/>
          <w:lang w:val="en-US" w:eastAsia="zh-CN" w:bidi="ar-SA"/>
        </w:rPr>
        <w:t>三、该项目在建设、施工和运营过程中，应认真落实报告</w:t>
      </w:r>
      <w:r>
        <w:rPr>
          <w:rFonts w:hint="eastAsia" w:eastAsia="方正仿宋_GBK" w:cs="Times New Roman"/>
          <w:bCs/>
          <w:color w:val="000000"/>
          <w:kern w:val="2"/>
          <w:sz w:val="32"/>
          <w:szCs w:val="32"/>
          <w:lang w:val="en-US" w:eastAsia="zh-CN" w:bidi="ar-SA"/>
        </w:rPr>
        <w:t>书</w:t>
      </w:r>
      <w:r>
        <w:rPr>
          <w:rFonts w:hint="eastAsia" w:ascii="Times New Roman" w:hAnsi="Times New Roman" w:eastAsia="方正仿宋_GBK" w:cs="Times New Roman"/>
          <w:bCs/>
          <w:color w:val="000000"/>
          <w:kern w:val="2"/>
          <w:sz w:val="32"/>
          <w:szCs w:val="32"/>
          <w:lang w:val="en-US" w:eastAsia="zh-CN" w:bidi="ar-SA"/>
        </w:rPr>
        <w:t>提出的生态保护及污染防治措施，严格按照本批准书规定的排放标准及总量控制指标执行，并重点做好以下工作：</w:t>
      </w:r>
    </w:p>
    <w:p>
      <w:pPr>
        <w:keepNext w:val="0"/>
        <w:keepLines w:val="0"/>
        <w:pageBreakBefore w:val="0"/>
        <w:widowControl w:val="0"/>
        <w:kinsoku/>
        <w:wordWrap/>
        <w:overflowPunct/>
        <w:topLinePunct w:val="0"/>
        <w:autoSpaceDE/>
        <w:autoSpaceDN/>
        <w:bidi w:val="0"/>
        <w:adjustRightInd/>
        <w:snapToGrid/>
        <w:spacing w:line="600" w:lineRule="exact"/>
        <w:ind w:right="-34" w:firstLine="632" w:firstLineChars="200"/>
        <w:textAlignment w:val="auto"/>
        <w:rPr>
          <w:rFonts w:hint="eastAsia" w:ascii="Times New Roman" w:hAnsi="Times New Roman" w:eastAsia="方正仿宋_GBK" w:cs="Times New Roman"/>
          <w:bCs/>
          <w:color w:val="000000"/>
          <w:kern w:val="2"/>
          <w:sz w:val="32"/>
          <w:szCs w:val="32"/>
          <w:lang w:val="en-US" w:eastAsia="zh-CN" w:bidi="ar-SA"/>
        </w:rPr>
      </w:pPr>
      <w:r>
        <w:rPr>
          <w:rFonts w:hint="eastAsia" w:ascii="Times New Roman" w:hAnsi="Times New Roman" w:eastAsia="方正仿宋_GBK" w:cs="Times New Roman"/>
          <w:bCs/>
          <w:color w:val="000000"/>
          <w:kern w:val="2"/>
          <w:sz w:val="32"/>
          <w:szCs w:val="32"/>
          <w:lang w:val="en-US" w:eastAsia="zh-CN" w:bidi="ar-SA"/>
        </w:rPr>
        <w:t>（一）废水污染措施。废水主要为机械设备维修冲洗废水和生活污水。冲洗废水经隔油沉淀池处理后综合利用于维修冲洗工序或场地防尘洒水，不外排。收集的浮油严格按照《危险废物贮存污染控制标准》（GB18597-2023）进行储运，交有资质单位处置。生活污水经收集处理后用于周边农田、园地等施肥，不外排。</w:t>
      </w:r>
    </w:p>
    <w:p>
      <w:pPr>
        <w:keepNext w:val="0"/>
        <w:keepLines w:val="0"/>
        <w:pageBreakBefore w:val="0"/>
        <w:widowControl w:val="0"/>
        <w:kinsoku/>
        <w:wordWrap/>
        <w:overflowPunct/>
        <w:topLinePunct w:val="0"/>
        <w:autoSpaceDE/>
        <w:autoSpaceDN/>
        <w:bidi w:val="0"/>
        <w:adjustRightInd/>
        <w:snapToGrid/>
        <w:spacing w:line="600" w:lineRule="exact"/>
        <w:ind w:right="-34" w:firstLine="632" w:firstLineChars="200"/>
        <w:textAlignment w:val="auto"/>
        <w:rPr>
          <w:rFonts w:hint="eastAsia" w:eastAsia="方正仿宋_GBK" w:cs="Times New Roman"/>
          <w:bCs/>
          <w:color w:val="000000"/>
          <w:kern w:val="2"/>
          <w:sz w:val="32"/>
          <w:szCs w:val="32"/>
          <w:lang w:val="en-US" w:eastAsia="zh-CN" w:bidi="ar-SA"/>
        </w:rPr>
      </w:pPr>
      <w:r>
        <w:rPr>
          <w:rFonts w:hint="eastAsia" w:ascii="Times New Roman" w:hAnsi="Times New Roman" w:eastAsia="方正仿宋_GBK" w:cs="Times New Roman"/>
          <w:bCs/>
          <w:color w:val="000000"/>
          <w:kern w:val="2"/>
          <w:sz w:val="32"/>
          <w:szCs w:val="32"/>
          <w:lang w:val="en-US" w:eastAsia="zh-CN" w:bidi="ar-SA"/>
        </w:rPr>
        <w:t>（二）废气污染措施。废气主要为施工期场地规整、物料运输产生的粉尘，以及施工机具排放的尾气。</w:t>
      </w:r>
      <w:r>
        <w:rPr>
          <w:rFonts w:hint="eastAsia" w:eastAsia="方正仿宋_GBK" w:cs="Times New Roman"/>
          <w:bCs/>
          <w:color w:val="000000"/>
          <w:kern w:val="2"/>
          <w:sz w:val="32"/>
          <w:szCs w:val="32"/>
          <w:lang w:val="en-US" w:eastAsia="zh-CN" w:bidi="ar-SA"/>
        </w:rPr>
        <w:t>施工废气</w:t>
      </w:r>
      <w:r>
        <w:rPr>
          <w:rFonts w:hint="eastAsia" w:ascii="Times New Roman" w:hAnsi="Times New Roman" w:eastAsia="方正仿宋_GBK" w:cs="Times New Roman"/>
          <w:bCs/>
          <w:color w:val="000000"/>
          <w:kern w:val="2"/>
          <w:sz w:val="32"/>
          <w:szCs w:val="32"/>
          <w:lang w:val="en-US" w:eastAsia="zh-CN" w:bidi="ar-SA"/>
        </w:rPr>
        <w:t>主要有粉尘、扬尘等</w:t>
      </w:r>
      <w:r>
        <w:rPr>
          <w:rFonts w:hint="eastAsia" w:eastAsia="方正仿宋_GBK" w:cs="Times New Roman"/>
          <w:bCs/>
          <w:color w:val="000000"/>
          <w:kern w:val="2"/>
          <w:sz w:val="32"/>
          <w:szCs w:val="32"/>
          <w:lang w:val="en-US" w:eastAsia="zh-CN" w:bidi="ar-SA"/>
        </w:rPr>
        <w:t>，</w:t>
      </w:r>
      <w:r>
        <w:rPr>
          <w:rFonts w:hint="eastAsia" w:ascii="Times New Roman" w:hAnsi="Times New Roman" w:eastAsia="方正仿宋_GBK" w:cs="Times New Roman"/>
          <w:bCs/>
          <w:color w:val="000000"/>
          <w:kern w:val="2"/>
          <w:sz w:val="32"/>
          <w:szCs w:val="32"/>
          <w:lang w:val="en-US" w:eastAsia="zh-CN" w:bidi="ar-SA"/>
        </w:rPr>
        <w:t>采取洒水抑尘、加盖篷布减少漏撒、及时清理路面、加强日常维护等措施减小不利影响</w:t>
      </w:r>
      <w:r>
        <w:rPr>
          <w:rFonts w:hint="eastAsia" w:eastAsia="方正仿宋_GBK" w:cs="Times New Roman"/>
          <w:bCs/>
          <w:color w:val="00000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right="-34" w:firstLine="632" w:firstLineChars="200"/>
        <w:textAlignment w:val="auto"/>
        <w:rPr>
          <w:rFonts w:hint="eastAsia" w:ascii="Times New Roman" w:hAnsi="Times New Roman" w:eastAsia="方正仿宋_GBK" w:cs="Times New Roman"/>
          <w:bCs/>
          <w:color w:val="000000"/>
          <w:kern w:val="2"/>
          <w:sz w:val="32"/>
          <w:szCs w:val="32"/>
          <w:lang w:val="en-US" w:eastAsia="zh-CN" w:bidi="ar-SA"/>
        </w:rPr>
      </w:pPr>
      <w:r>
        <w:rPr>
          <w:rFonts w:hint="eastAsia" w:ascii="Times New Roman" w:hAnsi="Times New Roman" w:eastAsia="方正仿宋_GBK" w:cs="Times New Roman"/>
          <w:bCs/>
          <w:color w:val="000000"/>
          <w:kern w:val="2"/>
          <w:sz w:val="32"/>
          <w:szCs w:val="32"/>
          <w:lang w:val="en-US" w:eastAsia="zh-CN" w:bidi="ar-SA"/>
        </w:rPr>
        <w:t>（三）噪声污染措施。施工期，噪声主要是施工机械噪声和运输噪声。选取低噪声设备，固定高噪声设备设置设备间，利用墙体隔声、安装减振垫等措施</w:t>
      </w:r>
      <w:r>
        <w:rPr>
          <w:rFonts w:hint="eastAsia" w:eastAsia="方正仿宋_GBK" w:cs="Times New Roman"/>
          <w:bCs/>
          <w:color w:val="000000"/>
          <w:kern w:val="2"/>
          <w:sz w:val="32"/>
          <w:szCs w:val="32"/>
          <w:lang w:val="en-US" w:eastAsia="zh-CN" w:bidi="ar-SA"/>
        </w:rPr>
        <w:t>减小不利影响</w:t>
      </w:r>
      <w:r>
        <w:rPr>
          <w:rFonts w:hint="eastAsia" w:ascii="Times New Roman" w:hAnsi="Times New Roman" w:eastAsia="方正仿宋_GBK" w:cs="Times New Roman"/>
          <w:bCs/>
          <w:color w:val="000000"/>
          <w:kern w:val="2"/>
          <w:sz w:val="32"/>
          <w:szCs w:val="32"/>
          <w:lang w:val="en-US" w:eastAsia="zh-CN" w:bidi="ar-SA"/>
        </w:rPr>
        <w:t>。运行期，生态机组运行产生噪声，通过墙体隔声、安装减振垫等措施降低其不利影响，需满足《工业企业厂界环境噪声排放标准》（GB12348-2008）</w:t>
      </w:r>
      <w:r>
        <w:rPr>
          <w:rFonts w:hint="eastAsia" w:eastAsia="方正仿宋_GBK" w:cs="Times New Roman"/>
          <w:bCs/>
          <w:color w:val="000000"/>
          <w:kern w:val="2"/>
          <w:sz w:val="32"/>
          <w:szCs w:val="32"/>
          <w:lang w:val="en-US" w:eastAsia="zh-CN" w:bidi="ar-SA"/>
        </w:rPr>
        <w:t>中2类标准</w:t>
      </w:r>
      <w:r>
        <w:rPr>
          <w:rFonts w:hint="eastAsia" w:ascii="Times New Roman" w:hAnsi="Times New Roman" w:eastAsia="方正仿宋_GBK" w:cs="Times New Roman"/>
          <w:bCs/>
          <w:color w:val="00000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right="-34" w:firstLine="632" w:firstLineChars="200"/>
        <w:textAlignment w:val="auto"/>
        <w:rPr>
          <w:rFonts w:hint="eastAsia" w:ascii="Times New Roman" w:hAnsi="Times New Roman" w:eastAsia="方正仿宋_GBK" w:cs="Times New Roman"/>
          <w:bCs/>
          <w:color w:val="000000"/>
          <w:kern w:val="2"/>
          <w:sz w:val="32"/>
          <w:szCs w:val="32"/>
          <w:lang w:val="en-US" w:eastAsia="zh-CN" w:bidi="ar-SA"/>
        </w:rPr>
      </w:pPr>
      <w:r>
        <w:rPr>
          <w:rFonts w:hint="eastAsia" w:ascii="Times New Roman" w:hAnsi="Times New Roman" w:eastAsia="方正仿宋_GBK" w:cs="Times New Roman"/>
          <w:bCs/>
          <w:color w:val="000000"/>
          <w:kern w:val="2"/>
          <w:sz w:val="32"/>
          <w:szCs w:val="32"/>
          <w:lang w:val="en-US" w:eastAsia="zh-CN" w:bidi="ar-SA"/>
        </w:rPr>
        <w:t>（四）固体废物处理措施。施工期，固体废物主要为生活垃圾，经收集后交由当地环卫部门处置，运输过程中需加盖、遮挡，避免二次污染。运行期，</w:t>
      </w:r>
      <w:r>
        <w:rPr>
          <w:rFonts w:hint="eastAsia" w:eastAsia="方正仿宋_GBK" w:cs="Times New Roman"/>
          <w:bCs/>
          <w:color w:val="000000"/>
          <w:kern w:val="2"/>
          <w:sz w:val="32"/>
          <w:szCs w:val="32"/>
          <w:lang w:val="en-US" w:eastAsia="zh-CN" w:bidi="ar-SA"/>
        </w:rPr>
        <w:t>固废主要是</w:t>
      </w:r>
      <w:r>
        <w:rPr>
          <w:rFonts w:hint="eastAsia" w:ascii="Times New Roman" w:hAnsi="Times New Roman" w:eastAsia="方正仿宋_GBK" w:cs="Times New Roman"/>
          <w:bCs/>
          <w:color w:val="000000"/>
          <w:kern w:val="2"/>
          <w:sz w:val="32"/>
          <w:szCs w:val="32"/>
          <w:lang w:val="en-US" w:eastAsia="zh-CN" w:bidi="ar-SA"/>
        </w:rPr>
        <w:t>设备维护、检修产生的少量含油棉纱手套、废润滑油，交有资质单位处置。按照《危险废物贮存污染控制标准》（GB18597-2023）设置危废暂存间。</w:t>
      </w:r>
    </w:p>
    <w:p>
      <w:pPr>
        <w:keepNext w:val="0"/>
        <w:keepLines w:val="0"/>
        <w:pageBreakBefore w:val="0"/>
        <w:widowControl w:val="0"/>
        <w:kinsoku/>
        <w:wordWrap/>
        <w:overflowPunct/>
        <w:topLinePunct w:val="0"/>
        <w:autoSpaceDE/>
        <w:autoSpaceDN/>
        <w:bidi w:val="0"/>
        <w:adjustRightInd/>
        <w:snapToGrid/>
        <w:spacing w:line="600" w:lineRule="exact"/>
        <w:ind w:right="-34" w:firstLine="632" w:firstLineChars="200"/>
        <w:textAlignment w:val="auto"/>
        <w:rPr>
          <w:rFonts w:hint="eastAsia" w:ascii="Times New Roman" w:hAnsi="Times New Roman" w:eastAsia="方正仿宋_GBK" w:cs="Times New Roman"/>
          <w:bCs/>
          <w:color w:val="000000"/>
          <w:kern w:val="2"/>
          <w:sz w:val="32"/>
          <w:szCs w:val="32"/>
          <w:lang w:val="en-US" w:eastAsia="zh-CN" w:bidi="ar-SA"/>
        </w:rPr>
      </w:pPr>
      <w:r>
        <w:rPr>
          <w:rFonts w:hint="eastAsia" w:ascii="Times New Roman" w:hAnsi="Times New Roman" w:eastAsia="方正仿宋_GBK" w:cs="Times New Roman"/>
          <w:bCs/>
          <w:color w:val="000000"/>
          <w:kern w:val="2"/>
          <w:sz w:val="32"/>
          <w:szCs w:val="32"/>
          <w:lang w:val="en-US" w:eastAsia="zh-CN" w:bidi="ar-SA"/>
        </w:rPr>
        <w:t>（五）生态环境保护措施。采取加强宣传、建立完善鱼类资源保护规章制度、设置生物保护警示牌、加强水土保持</w:t>
      </w:r>
      <w:r>
        <w:rPr>
          <w:rFonts w:hint="eastAsia" w:eastAsia="方正仿宋_GBK" w:cs="Times New Roman"/>
          <w:bCs/>
          <w:color w:val="000000"/>
          <w:kern w:val="2"/>
          <w:sz w:val="32"/>
          <w:szCs w:val="32"/>
          <w:lang w:val="en-US" w:eastAsia="zh-CN" w:bidi="ar-SA"/>
        </w:rPr>
        <w:t>等</w:t>
      </w:r>
      <w:r>
        <w:rPr>
          <w:rFonts w:hint="eastAsia" w:ascii="Times New Roman" w:hAnsi="Times New Roman" w:eastAsia="方正仿宋_GBK" w:cs="Times New Roman"/>
          <w:bCs/>
          <w:color w:val="000000"/>
          <w:kern w:val="2"/>
          <w:sz w:val="32"/>
          <w:szCs w:val="32"/>
          <w:lang w:val="en-US" w:eastAsia="zh-CN" w:bidi="ar-SA"/>
        </w:rPr>
        <w:t>措施，减小对</w:t>
      </w:r>
      <w:r>
        <w:rPr>
          <w:rFonts w:hint="eastAsia" w:eastAsia="方正仿宋_GBK" w:cs="Times New Roman"/>
          <w:bCs/>
          <w:color w:val="000000"/>
          <w:kern w:val="2"/>
          <w:sz w:val="32"/>
          <w:szCs w:val="32"/>
          <w:lang w:val="en-US" w:eastAsia="zh-CN" w:bidi="ar-SA"/>
        </w:rPr>
        <w:t>生态</w:t>
      </w:r>
      <w:r>
        <w:rPr>
          <w:rFonts w:hint="eastAsia" w:ascii="Times New Roman" w:hAnsi="Times New Roman" w:eastAsia="方正仿宋_GBK" w:cs="Times New Roman"/>
          <w:bCs/>
          <w:color w:val="000000"/>
          <w:kern w:val="2"/>
          <w:sz w:val="32"/>
          <w:szCs w:val="32"/>
          <w:lang w:val="en-US" w:eastAsia="zh-CN" w:bidi="ar-SA"/>
        </w:rPr>
        <w:t>影响；对施工生产生活区新增临时占地进行土地整治并采取植树种草防护、复耕。</w:t>
      </w:r>
    </w:p>
    <w:p>
      <w:pPr>
        <w:keepNext w:val="0"/>
        <w:keepLines w:val="0"/>
        <w:pageBreakBefore w:val="0"/>
        <w:widowControl w:val="0"/>
        <w:kinsoku/>
        <w:wordWrap/>
        <w:overflowPunct/>
        <w:topLinePunct w:val="0"/>
        <w:autoSpaceDE/>
        <w:autoSpaceDN/>
        <w:bidi w:val="0"/>
        <w:adjustRightInd/>
        <w:snapToGrid/>
        <w:spacing w:line="600" w:lineRule="exact"/>
        <w:ind w:right="-34" w:firstLine="632" w:firstLineChars="200"/>
        <w:textAlignment w:val="auto"/>
        <w:rPr>
          <w:rFonts w:hint="default" w:ascii="Times New Roman" w:hAnsi="Times New Roman" w:eastAsia="方正仿宋_GBK" w:cs="Times New Roman"/>
          <w:bCs/>
          <w:color w:val="000000"/>
          <w:kern w:val="2"/>
          <w:sz w:val="32"/>
          <w:szCs w:val="32"/>
          <w:lang w:val="en-US" w:eastAsia="zh-CN" w:bidi="ar-SA"/>
        </w:rPr>
      </w:pPr>
      <w:r>
        <w:rPr>
          <w:rFonts w:hint="eastAsia" w:ascii="Times New Roman" w:hAnsi="Times New Roman" w:eastAsia="方正仿宋_GBK" w:cs="Times New Roman"/>
          <w:bCs/>
          <w:color w:val="000000"/>
          <w:kern w:val="2"/>
          <w:sz w:val="32"/>
          <w:szCs w:val="32"/>
          <w:lang w:val="en-US" w:eastAsia="zh-CN" w:bidi="ar-SA"/>
        </w:rPr>
        <w:t>（</w:t>
      </w:r>
      <w:r>
        <w:rPr>
          <w:rFonts w:hint="eastAsia" w:eastAsia="方正仿宋_GBK" w:cs="Times New Roman"/>
          <w:bCs/>
          <w:color w:val="000000"/>
          <w:kern w:val="2"/>
          <w:sz w:val="32"/>
          <w:szCs w:val="32"/>
          <w:lang w:val="en-US" w:eastAsia="zh-CN" w:bidi="ar-SA"/>
        </w:rPr>
        <w:t>六</w:t>
      </w:r>
      <w:r>
        <w:rPr>
          <w:rFonts w:hint="eastAsia" w:ascii="Times New Roman" w:hAnsi="Times New Roman" w:eastAsia="方正仿宋_GBK" w:cs="Times New Roman"/>
          <w:bCs/>
          <w:color w:val="000000"/>
          <w:kern w:val="2"/>
          <w:sz w:val="32"/>
          <w:szCs w:val="32"/>
          <w:lang w:val="en-US" w:eastAsia="zh-CN" w:bidi="ar-SA"/>
        </w:rPr>
        <w:t>）</w:t>
      </w:r>
      <w:r>
        <w:rPr>
          <w:rFonts w:hint="eastAsia" w:eastAsia="方正仿宋_GBK" w:cs="Times New Roman"/>
          <w:bCs/>
          <w:color w:val="000000"/>
          <w:kern w:val="2"/>
          <w:sz w:val="32"/>
          <w:szCs w:val="32"/>
          <w:lang w:val="en-US" w:eastAsia="zh-CN" w:bidi="ar-SA"/>
        </w:rPr>
        <w:t>环境风险防范措施。油品堆放区进行防渗漏处理，设置围堰并防渗，围堰容积要满足油桶最大泄漏量需要；变压器处设置围堰和集油池，防止事故造成储油泄露污染周边环境，围堰、集油池进行防渗处理，集油池容积按最大变压器储油设置。</w:t>
      </w:r>
    </w:p>
    <w:p>
      <w:pPr>
        <w:keepNext w:val="0"/>
        <w:keepLines w:val="0"/>
        <w:pageBreakBefore w:val="0"/>
        <w:widowControl w:val="0"/>
        <w:kinsoku/>
        <w:wordWrap/>
        <w:overflowPunct/>
        <w:topLinePunct w:val="0"/>
        <w:autoSpaceDE/>
        <w:autoSpaceDN/>
        <w:bidi w:val="0"/>
        <w:adjustRightInd/>
        <w:snapToGrid/>
        <w:spacing w:line="600" w:lineRule="exact"/>
        <w:ind w:right="-34" w:firstLine="632" w:firstLineChars="200"/>
        <w:textAlignment w:val="auto"/>
        <w:rPr>
          <w:rFonts w:hint="eastAsia" w:ascii="Times New Roman" w:hAnsi="Times New Roman" w:eastAsia="方正仿宋_GBK" w:cs="Times New Roman"/>
          <w:bCs/>
          <w:color w:val="000000"/>
          <w:kern w:val="2"/>
          <w:sz w:val="32"/>
          <w:szCs w:val="32"/>
          <w:lang w:val="en-US" w:eastAsia="zh-CN" w:bidi="ar-SA"/>
        </w:rPr>
      </w:pPr>
      <w:r>
        <w:rPr>
          <w:rFonts w:hint="eastAsia" w:ascii="Times New Roman" w:hAnsi="Times New Roman" w:eastAsia="方正仿宋_GBK" w:cs="Times New Roman"/>
          <w:bCs/>
          <w:color w:val="000000"/>
          <w:kern w:val="2"/>
          <w:sz w:val="32"/>
          <w:szCs w:val="32"/>
          <w:lang w:val="en-US" w:eastAsia="zh-CN" w:bidi="ar-SA"/>
        </w:rPr>
        <w:t>（</w:t>
      </w:r>
      <w:r>
        <w:rPr>
          <w:rFonts w:hint="eastAsia" w:eastAsia="方正仿宋_GBK" w:cs="Times New Roman"/>
          <w:bCs/>
          <w:color w:val="000000"/>
          <w:kern w:val="2"/>
          <w:sz w:val="32"/>
          <w:szCs w:val="32"/>
          <w:lang w:val="en-US" w:eastAsia="zh-CN" w:bidi="ar-SA"/>
        </w:rPr>
        <w:t>七</w:t>
      </w:r>
      <w:r>
        <w:rPr>
          <w:rFonts w:hint="eastAsia" w:ascii="Times New Roman" w:hAnsi="Times New Roman" w:eastAsia="方正仿宋_GBK" w:cs="Times New Roman"/>
          <w:bCs/>
          <w:color w:val="000000"/>
          <w:kern w:val="2"/>
          <w:sz w:val="32"/>
          <w:szCs w:val="32"/>
          <w:lang w:val="en-US" w:eastAsia="zh-CN" w:bidi="ar-SA"/>
        </w:rPr>
        <w:t>）认真落实报告</w:t>
      </w:r>
      <w:r>
        <w:rPr>
          <w:rFonts w:hint="eastAsia" w:eastAsia="方正仿宋_GBK" w:cs="Times New Roman"/>
          <w:bCs/>
          <w:color w:val="000000"/>
          <w:kern w:val="2"/>
          <w:sz w:val="32"/>
          <w:szCs w:val="32"/>
          <w:lang w:val="en-US" w:eastAsia="zh-CN" w:bidi="ar-SA"/>
        </w:rPr>
        <w:t>书</w:t>
      </w:r>
      <w:r>
        <w:rPr>
          <w:rFonts w:hint="eastAsia" w:ascii="Times New Roman" w:hAnsi="Times New Roman" w:eastAsia="方正仿宋_GBK" w:cs="Times New Roman"/>
          <w:bCs/>
          <w:color w:val="000000"/>
          <w:kern w:val="2"/>
          <w:sz w:val="32"/>
          <w:szCs w:val="32"/>
          <w:lang w:val="en-US" w:eastAsia="zh-CN" w:bidi="ar-SA"/>
        </w:rPr>
        <w:t>提出的其他污染防治措施。</w:t>
      </w:r>
    </w:p>
    <w:p>
      <w:pPr>
        <w:keepNext w:val="0"/>
        <w:keepLines w:val="0"/>
        <w:pageBreakBefore w:val="0"/>
        <w:widowControl w:val="0"/>
        <w:kinsoku/>
        <w:wordWrap/>
        <w:overflowPunct/>
        <w:topLinePunct w:val="0"/>
        <w:autoSpaceDE/>
        <w:autoSpaceDN/>
        <w:bidi w:val="0"/>
        <w:adjustRightInd/>
        <w:snapToGrid/>
        <w:spacing w:line="600" w:lineRule="exact"/>
        <w:ind w:right="-34" w:firstLine="632" w:firstLineChars="200"/>
        <w:textAlignment w:val="auto"/>
        <w:rPr>
          <w:rFonts w:hint="eastAsia" w:ascii="Times New Roman" w:hAnsi="Times New Roman" w:eastAsia="方正仿宋_GBK" w:cs="Times New Roman"/>
          <w:bCs/>
          <w:color w:val="000000"/>
          <w:kern w:val="2"/>
          <w:sz w:val="32"/>
          <w:szCs w:val="32"/>
          <w:lang w:val="en-US" w:eastAsia="zh-CN" w:bidi="ar-SA"/>
        </w:rPr>
      </w:pPr>
      <w:r>
        <w:rPr>
          <w:rFonts w:hint="eastAsia" w:ascii="Times New Roman" w:hAnsi="Times New Roman" w:eastAsia="方正仿宋_GBK" w:cs="Times New Roman"/>
          <w:bCs/>
          <w:color w:val="000000"/>
          <w:kern w:val="2"/>
          <w:sz w:val="32"/>
          <w:szCs w:val="32"/>
          <w:lang w:val="en-US" w:eastAsia="zh-CN" w:bidi="ar-SA"/>
        </w:rPr>
        <w:t>四、做好环境风险防范工作，加强环境风险管理，把突发性环境污染事故降低到最低程度，防止因事故引发环境污染。</w:t>
      </w:r>
    </w:p>
    <w:p>
      <w:pPr>
        <w:keepNext w:val="0"/>
        <w:keepLines w:val="0"/>
        <w:pageBreakBefore w:val="0"/>
        <w:widowControl w:val="0"/>
        <w:kinsoku/>
        <w:wordWrap/>
        <w:overflowPunct/>
        <w:topLinePunct w:val="0"/>
        <w:autoSpaceDE/>
        <w:autoSpaceDN/>
        <w:bidi w:val="0"/>
        <w:adjustRightInd/>
        <w:snapToGrid/>
        <w:spacing w:line="600" w:lineRule="exact"/>
        <w:ind w:right="-34" w:firstLine="632" w:firstLineChars="200"/>
        <w:textAlignment w:val="auto"/>
        <w:rPr>
          <w:rFonts w:hint="eastAsia" w:ascii="Times New Roman" w:hAnsi="Times New Roman" w:eastAsia="方正仿宋_GBK" w:cs="Times New Roman"/>
          <w:bCs/>
          <w:color w:val="000000"/>
          <w:kern w:val="2"/>
          <w:sz w:val="32"/>
          <w:szCs w:val="32"/>
          <w:lang w:val="en-US" w:eastAsia="zh-CN" w:bidi="ar-SA"/>
        </w:rPr>
      </w:pPr>
      <w:r>
        <w:rPr>
          <w:rFonts w:hint="eastAsia" w:ascii="Times New Roman" w:hAnsi="Times New Roman" w:eastAsia="方正仿宋_GBK" w:cs="Times New Roman"/>
          <w:bCs/>
          <w:color w:val="000000"/>
          <w:kern w:val="2"/>
          <w:sz w:val="32"/>
          <w:szCs w:val="32"/>
          <w:lang w:val="en-US" w:eastAsia="zh-CN" w:bidi="ar-SA"/>
        </w:rPr>
        <w:t>五、该项目建设必须严格执行环境保护设施与主体工程同时设计、同时施工、同时投入使用的环境保护“三同时”制度。项目竣工后，你公司应按照有关规定对配套建设的环境保护设施进行验收，编制验收报告并依法向社会公开验收报告，公示期满5个工作日内，建设单位应登录全国建设项目竣工环境保护验收信息平台，填报验收等相关信息。</w:t>
      </w:r>
    </w:p>
    <w:p>
      <w:pPr>
        <w:keepNext w:val="0"/>
        <w:keepLines w:val="0"/>
        <w:pageBreakBefore w:val="0"/>
        <w:widowControl w:val="0"/>
        <w:kinsoku/>
        <w:wordWrap/>
        <w:overflowPunct/>
        <w:topLinePunct w:val="0"/>
        <w:autoSpaceDE/>
        <w:autoSpaceDN/>
        <w:bidi w:val="0"/>
        <w:adjustRightInd/>
        <w:snapToGrid/>
        <w:spacing w:line="600" w:lineRule="exact"/>
        <w:ind w:right="-34" w:firstLine="632" w:firstLineChars="200"/>
        <w:textAlignment w:val="auto"/>
        <w:rPr>
          <w:rFonts w:hint="eastAsia" w:ascii="Times New Roman" w:hAnsi="Times New Roman" w:eastAsia="方正仿宋_GBK" w:cs="Times New Roman"/>
          <w:bCs/>
          <w:color w:val="000000"/>
          <w:kern w:val="2"/>
          <w:sz w:val="32"/>
          <w:szCs w:val="32"/>
          <w:lang w:val="en-US" w:eastAsia="zh-CN" w:bidi="ar-SA"/>
        </w:rPr>
      </w:pPr>
      <w:r>
        <w:rPr>
          <w:rFonts w:hint="eastAsia" w:ascii="Times New Roman" w:hAnsi="Times New Roman" w:eastAsia="方正仿宋_GBK" w:cs="Times New Roman"/>
          <w:bCs/>
          <w:color w:val="000000"/>
          <w:kern w:val="2"/>
          <w:sz w:val="32"/>
          <w:szCs w:val="32"/>
          <w:lang w:val="en-US" w:eastAsia="zh-CN" w:bidi="ar-SA"/>
        </w:rPr>
        <w:t>六、若项目的性质、规模、地点、采用的生产工艺或者防治污染措施发生重大变动的，应依法重新报批项目环境影响评价文件。自批准之日起超过5年该项目方开工建设的，其环评文件应当报我局重新审核。</w:t>
      </w:r>
    </w:p>
    <w:p>
      <w:pPr>
        <w:keepNext w:val="0"/>
        <w:keepLines w:val="0"/>
        <w:pageBreakBefore w:val="0"/>
        <w:widowControl w:val="0"/>
        <w:kinsoku/>
        <w:wordWrap/>
        <w:overflowPunct/>
        <w:topLinePunct w:val="0"/>
        <w:autoSpaceDE/>
        <w:autoSpaceDN/>
        <w:bidi w:val="0"/>
        <w:adjustRightInd/>
        <w:snapToGrid/>
        <w:spacing w:line="600" w:lineRule="exact"/>
        <w:ind w:right="-34" w:firstLine="632" w:firstLineChars="200"/>
        <w:textAlignment w:val="auto"/>
        <w:rPr>
          <w:rFonts w:hint="eastAsia" w:ascii="Times New Roman" w:hAnsi="Times New Roman" w:eastAsia="方正仿宋_GBK" w:cs="Times New Roman"/>
          <w:bCs/>
          <w:color w:val="000000"/>
          <w:kern w:val="2"/>
          <w:sz w:val="32"/>
          <w:szCs w:val="32"/>
          <w:lang w:val="en-US" w:eastAsia="zh-CN" w:bidi="ar-SA"/>
        </w:rPr>
      </w:pPr>
      <w:r>
        <w:rPr>
          <w:rFonts w:hint="eastAsia" w:ascii="Times New Roman" w:hAnsi="Times New Roman" w:eastAsia="方正仿宋_GBK" w:cs="Times New Roman"/>
          <w:bCs/>
          <w:color w:val="000000"/>
          <w:kern w:val="2"/>
          <w:sz w:val="32"/>
          <w:szCs w:val="32"/>
          <w:lang w:val="en-US" w:eastAsia="zh-CN" w:bidi="ar-SA"/>
        </w:rPr>
        <w:t>七、该项目的环境保护日常监督管理工作由石柱土家族自治县生态环境保护综合行政执法支队负责。</w:t>
      </w:r>
    </w:p>
    <w:p>
      <w:pPr>
        <w:keepNext w:val="0"/>
        <w:keepLines w:val="0"/>
        <w:pageBreakBefore w:val="0"/>
        <w:widowControl w:val="0"/>
        <w:kinsoku/>
        <w:wordWrap/>
        <w:overflowPunct/>
        <w:topLinePunct w:val="0"/>
        <w:autoSpaceDE/>
        <w:autoSpaceDN/>
        <w:bidi w:val="0"/>
        <w:adjustRightInd/>
        <w:snapToGrid/>
        <w:spacing w:line="600" w:lineRule="exact"/>
        <w:ind w:right="323" w:firstLine="3634" w:firstLineChars="1150"/>
        <w:textAlignment w:val="auto"/>
        <w:rPr>
          <w:rFonts w:hint="eastAsia" w:ascii="Times New Roman" w:hAnsi="Times New Roman" w:eastAsia="方正仿宋_GBK" w:cs="Times New Roman"/>
          <w:bCs/>
          <w:color w:val="000000"/>
          <w:kern w:val="2"/>
          <w:sz w:val="32"/>
          <w:szCs w:val="32"/>
          <w:lang w:val="en-US" w:eastAsia="zh-CN" w:bidi="ar-SA"/>
        </w:rPr>
      </w:pPr>
    </w:p>
    <w:p>
      <w:pPr>
        <w:spacing w:line="640" w:lineRule="exact"/>
        <w:ind w:right="323" w:firstLine="3634" w:firstLineChars="1150"/>
        <w:rPr>
          <w:rFonts w:hint="eastAsia" w:ascii="Times New Roman" w:hAnsi="Times New Roman" w:eastAsia="方正仿宋_GBK" w:cs="Times New Roman"/>
          <w:bCs/>
          <w:color w:val="000000"/>
          <w:kern w:val="2"/>
          <w:sz w:val="32"/>
          <w:szCs w:val="32"/>
          <w:lang w:val="en-US" w:eastAsia="zh-CN" w:bidi="ar-SA"/>
        </w:rPr>
      </w:pPr>
    </w:p>
    <w:p>
      <w:pPr>
        <w:spacing w:line="640" w:lineRule="exact"/>
        <w:ind w:right="323" w:firstLine="3634" w:firstLineChars="1150"/>
        <w:rPr>
          <w:rFonts w:hint="eastAsia" w:ascii="Times New Roman" w:hAnsi="Times New Roman" w:eastAsia="方正仿宋_GBK" w:cs="Times New Roman"/>
          <w:bCs/>
          <w:color w:val="000000"/>
          <w:kern w:val="2"/>
          <w:sz w:val="32"/>
          <w:szCs w:val="32"/>
          <w:lang w:val="en-US" w:eastAsia="zh-CN" w:bidi="ar-SA"/>
        </w:rPr>
      </w:pPr>
    </w:p>
    <w:p>
      <w:pPr>
        <w:spacing w:line="640" w:lineRule="exact"/>
        <w:ind w:right="323" w:firstLine="3634" w:firstLineChars="1150"/>
        <w:rPr>
          <w:rFonts w:hint="eastAsia" w:ascii="Times New Roman" w:hAnsi="Times New Roman" w:eastAsia="方正仿宋_GBK" w:cs="Times New Roman"/>
          <w:bCs/>
          <w:color w:val="000000"/>
          <w:kern w:val="2"/>
          <w:sz w:val="32"/>
          <w:szCs w:val="32"/>
          <w:lang w:val="en-US" w:eastAsia="zh-CN" w:bidi="ar-SA"/>
        </w:rPr>
      </w:pPr>
      <w:r>
        <w:rPr>
          <w:rFonts w:hint="eastAsia" w:ascii="Times New Roman" w:hAnsi="Times New Roman" w:eastAsia="方正仿宋_GBK" w:cs="Times New Roman"/>
          <w:bCs/>
          <w:color w:val="000000"/>
          <w:kern w:val="2"/>
          <w:sz w:val="32"/>
          <w:szCs w:val="32"/>
          <w:lang w:val="en-US" w:eastAsia="zh-CN" w:bidi="ar-SA"/>
        </w:rPr>
        <w:t>石柱土家族自治县生态环境局</w:t>
      </w:r>
    </w:p>
    <w:p>
      <w:pPr>
        <w:spacing w:line="600" w:lineRule="exact"/>
        <w:ind w:right="-34" w:firstLine="4740" w:firstLineChars="1500"/>
        <w:rPr>
          <w:rFonts w:hint="eastAsia" w:ascii="Times New Roman" w:hAnsi="Times New Roman" w:eastAsia="方正仿宋_GBK" w:cs="Times New Roman"/>
          <w:bCs/>
          <w:color w:val="000000"/>
          <w:kern w:val="2"/>
          <w:sz w:val="32"/>
          <w:szCs w:val="32"/>
          <w:lang w:val="en-US" w:eastAsia="zh-CN" w:bidi="ar-SA"/>
        </w:rPr>
      </w:pPr>
      <w:r>
        <w:rPr>
          <w:rFonts w:hint="eastAsia" w:ascii="Times New Roman" w:hAnsi="Times New Roman" w:eastAsia="方正仿宋_GBK" w:cs="Times New Roman"/>
          <w:bCs/>
          <w:color w:val="000000"/>
          <w:kern w:val="2"/>
          <w:sz w:val="32"/>
          <w:szCs w:val="32"/>
          <w:lang w:val="en-US" w:eastAsia="zh-CN" w:bidi="ar-SA"/>
        </w:rPr>
        <w:t>2023年</w:t>
      </w:r>
      <w:r>
        <w:rPr>
          <w:rFonts w:hint="eastAsia" w:eastAsia="方正仿宋_GBK" w:cs="Times New Roman"/>
          <w:bCs/>
          <w:color w:val="000000"/>
          <w:kern w:val="2"/>
          <w:sz w:val="32"/>
          <w:szCs w:val="32"/>
          <w:lang w:val="en-US" w:eastAsia="zh-CN" w:bidi="ar-SA"/>
        </w:rPr>
        <w:t>8</w:t>
      </w:r>
      <w:r>
        <w:rPr>
          <w:rFonts w:hint="eastAsia" w:ascii="Times New Roman" w:hAnsi="Times New Roman" w:eastAsia="方正仿宋_GBK" w:cs="Times New Roman"/>
          <w:bCs/>
          <w:color w:val="000000"/>
          <w:kern w:val="2"/>
          <w:sz w:val="32"/>
          <w:szCs w:val="32"/>
          <w:lang w:val="en-US" w:eastAsia="zh-CN" w:bidi="ar-SA"/>
        </w:rPr>
        <w:t>月</w:t>
      </w:r>
      <w:r>
        <w:rPr>
          <w:rFonts w:hint="eastAsia" w:eastAsia="方正仿宋_GBK" w:cs="Times New Roman"/>
          <w:bCs/>
          <w:color w:val="000000"/>
          <w:kern w:val="2"/>
          <w:sz w:val="32"/>
          <w:szCs w:val="32"/>
          <w:lang w:val="en-US" w:eastAsia="zh-CN" w:bidi="ar-SA"/>
        </w:rPr>
        <w:t>4</w:t>
      </w:r>
      <w:r>
        <w:rPr>
          <w:rFonts w:hint="eastAsia" w:ascii="Times New Roman" w:hAnsi="Times New Roman" w:eastAsia="方正仿宋_GBK" w:cs="Times New Roman"/>
          <w:bCs/>
          <w:color w:val="000000"/>
          <w:kern w:val="2"/>
          <w:sz w:val="32"/>
          <w:szCs w:val="32"/>
          <w:lang w:val="en-US" w:eastAsia="zh-CN" w:bidi="ar-SA"/>
        </w:rPr>
        <w:t>日</w:t>
      </w:r>
    </w:p>
    <w:p>
      <w:pPr>
        <w:rPr>
          <w:rFonts w:hint="default" w:ascii="Times New Roman" w:hAnsi="Times New Roman" w:eastAsia="方正仿宋_GBK" w:cs="Times New Roman"/>
          <w:bCs/>
          <w:color w:val="000000"/>
          <w:kern w:val="2"/>
          <w:sz w:val="32"/>
          <w:szCs w:val="32"/>
          <w:lang w:val="en-US" w:eastAsia="zh-CN" w:bidi="ar-SA"/>
        </w:rPr>
      </w:pPr>
    </w:p>
    <w:p>
      <w:pPr>
        <w:pStyle w:val="2"/>
        <w:rPr>
          <w:rFonts w:hint="default" w:ascii="Times New Roman" w:hAnsi="Times New Roman" w:eastAsia="方正仿宋_GBK" w:cs="Times New Roman"/>
          <w:bCs/>
          <w:color w:val="000000"/>
          <w:kern w:val="2"/>
          <w:sz w:val="32"/>
          <w:szCs w:val="32"/>
          <w:lang w:val="en-US" w:eastAsia="zh-CN" w:bidi="ar-SA"/>
        </w:rPr>
      </w:pPr>
    </w:p>
    <w:p>
      <w:pPr>
        <w:rPr>
          <w:rFonts w:hint="default" w:ascii="Times New Roman" w:hAnsi="Times New Roman" w:eastAsia="方正仿宋_GBK" w:cs="Times New Roman"/>
          <w:bCs/>
          <w:color w:val="000000"/>
          <w:kern w:val="2"/>
          <w:sz w:val="32"/>
          <w:szCs w:val="32"/>
          <w:lang w:val="en-US" w:eastAsia="zh-CN" w:bidi="ar-SA"/>
        </w:rPr>
      </w:pPr>
    </w:p>
    <w:p>
      <w:pPr>
        <w:pStyle w:val="2"/>
        <w:rPr>
          <w:rFonts w:hint="default" w:ascii="Times New Roman" w:hAnsi="Times New Roman" w:eastAsia="方正仿宋_GBK" w:cs="Times New Roman"/>
          <w:bCs/>
          <w:color w:val="000000"/>
          <w:kern w:val="2"/>
          <w:sz w:val="32"/>
          <w:szCs w:val="32"/>
          <w:lang w:val="en-US" w:eastAsia="zh-CN" w:bidi="ar-SA"/>
        </w:rPr>
      </w:pPr>
    </w:p>
    <w:p>
      <w:pPr>
        <w:rPr>
          <w:rFonts w:hint="default" w:ascii="Times New Roman" w:hAnsi="Times New Roman" w:eastAsia="方正仿宋_GBK" w:cs="Times New Roman"/>
          <w:bCs/>
          <w:color w:val="000000"/>
          <w:kern w:val="2"/>
          <w:sz w:val="32"/>
          <w:szCs w:val="32"/>
          <w:lang w:val="en-US" w:eastAsia="zh-CN" w:bidi="ar-SA"/>
        </w:rPr>
      </w:pPr>
    </w:p>
    <w:p>
      <w:pPr>
        <w:pStyle w:val="2"/>
        <w:rPr>
          <w:rFonts w:hint="default" w:ascii="Times New Roman" w:hAnsi="Times New Roman" w:eastAsia="方正仿宋_GBK" w:cs="Times New Roman"/>
          <w:bCs/>
          <w:color w:val="000000"/>
          <w:kern w:val="2"/>
          <w:sz w:val="32"/>
          <w:szCs w:val="32"/>
          <w:lang w:val="en-US" w:eastAsia="zh-CN" w:bidi="ar-SA"/>
        </w:rPr>
      </w:pPr>
    </w:p>
    <w:p>
      <w:pPr>
        <w:pStyle w:val="10"/>
        <w:spacing w:line="600" w:lineRule="exact"/>
        <w:rPr>
          <w:rFonts w:hint="eastAsia"/>
          <w:sz w:val="32"/>
          <w:szCs w:val="32"/>
        </w:rPr>
      </w:pPr>
      <w:r>
        <w:rPr>
          <w:rFonts w:hint="eastAsia" w:ascii="方正仿宋_GBK" w:hAnsi="宋体" w:eastAsia="方正仿宋_GBK"/>
          <w:bCs/>
          <w:sz w:val="32"/>
          <w:szCs w:val="32"/>
          <w:u w:val="single"/>
        </w:rPr>
        <w:t xml:space="preserve">抄送：县生态环境保护综合行政执法支队                  </w:t>
      </w:r>
    </w:p>
    <w:p>
      <w:pPr>
        <w:pStyle w:val="10"/>
        <w:spacing w:line="600" w:lineRule="exact"/>
        <w:rPr>
          <w:rFonts w:hint="eastAsia" w:ascii="Times New Roman" w:hAnsi="Times New Roman" w:eastAsia="方正仿宋_GBK" w:cs="Times New Roman"/>
          <w:bCs/>
          <w:color w:val="000000"/>
          <w:kern w:val="2"/>
          <w:sz w:val="32"/>
          <w:szCs w:val="32"/>
          <w:lang w:val="en-US" w:eastAsia="zh-CN" w:bidi="ar-SA"/>
        </w:rPr>
      </w:pPr>
      <w:r>
        <w:rPr>
          <w:rFonts w:hint="eastAsia" w:ascii="Times New Roman" w:hAnsi="Times New Roman" w:eastAsia="方正仿宋_GBK" w:cs="Times New Roman"/>
          <w:bCs/>
          <w:color w:val="000000"/>
          <w:kern w:val="2"/>
          <w:sz w:val="32"/>
          <w:szCs w:val="32"/>
          <w:lang w:val="en-US" w:eastAsia="zh-CN" w:bidi="ar-SA"/>
        </w:rPr>
        <w:t xml:space="preserve">           </w:t>
      </w:r>
    </w:p>
    <w:p>
      <w:pPr>
        <w:pStyle w:val="10"/>
        <w:spacing w:line="600" w:lineRule="exact"/>
        <w:rPr>
          <w:rFonts w:hint="eastAsia"/>
          <w:sz w:val="32"/>
          <w:szCs w:val="32"/>
        </w:rPr>
      </w:pPr>
    </w:p>
    <w:sectPr>
      <w:footerReference r:id="rId3" w:type="default"/>
      <w:footerReference r:id="rId4" w:type="even"/>
      <w:pgSz w:w="11907" w:h="16840"/>
      <w:pgMar w:top="1440" w:right="1644" w:bottom="1984" w:left="1588" w:header="851" w:footer="1474" w:gutter="0"/>
      <w:cols w:space="720" w:num="1"/>
      <w:titlePg/>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7840" w:firstLineChars="2800"/>
      <w:rPr>
        <w:rFonts w:hint="eastAsia" w:ascii="宋体" w:hAnsi="宋体" w:eastAsia="宋体"/>
        <w:sz w:val="28"/>
      </w:rPr>
    </w:pPr>
    <w:r>
      <w:rPr>
        <w:rFonts w:hint="eastAsia" w:ascii="宋体" w:hAnsi="宋体" w:eastAsia="宋体"/>
        <w:sz w:val="28"/>
      </w:rPr>
      <w:t>—</w:t>
    </w:r>
    <w:r>
      <w:rPr>
        <w:rFonts w:hint="eastAsia" w:ascii="宋体" w:hAnsi="宋体" w:eastAsia="宋体"/>
        <w:sz w:val="28"/>
        <w:lang w:val="en-US" w:eastAsia="zh-CN"/>
      </w:rPr>
      <w:t xml:space="preserve"> </w:t>
    </w:r>
    <w:r>
      <w:rPr>
        <w:rFonts w:ascii="宋体" w:hAnsi="宋体" w:eastAsia="宋体"/>
        <w:sz w:val="28"/>
      </w:rPr>
      <w:fldChar w:fldCharType="begin"/>
    </w:r>
    <w:r>
      <w:rPr>
        <w:rStyle w:val="9"/>
        <w:rFonts w:ascii="宋体" w:hAnsi="宋体" w:eastAsia="宋体"/>
        <w:sz w:val="28"/>
      </w:rPr>
      <w:instrText xml:space="preserve"> PAGE </w:instrText>
    </w:r>
    <w:r>
      <w:rPr>
        <w:rFonts w:ascii="宋体" w:hAnsi="宋体" w:eastAsia="宋体"/>
        <w:sz w:val="28"/>
      </w:rPr>
      <w:fldChar w:fldCharType="separate"/>
    </w:r>
    <w:r>
      <w:rPr>
        <w:rStyle w:val="9"/>
        <w:rFonts w:ascii="宋体" w:hAnsi="宋体" w:eastAsia="宋体"/>
        <w:sz w:val="28"/>
      </w:rPr>
      <w:t>1</w:t>
    </w:r>
    <w:r>
      <w:rPr>
        <w:rFonts w:ascii="宋体" w:hAnsi="宋体" w:eastAsia="宋体"/>
        <w:sz w:val="28"/>
      </w:rPr>
      <w:fldChar w:fldCharType="end"/>
    </w:r>
    <w:r>
      <w:rPr>
        <w:rFonts w:hint="eastAsia" w:ascii="宋体" w:hAnsi="宋体" w:eastAsia="宋体"/>
        <w:sz w:val="28"/>
        <w:lang w:val="en-US" w:eastAsia="zh-CN"/>
      </w:rPr>
      <w:t xml:space="preserve"> </w:t>
    </w:r>
    <w:r>
      <w:rPr>
        <w:rFonts w:hint="eastAsia" w:ascii="宋体" w:hAnsi="宋体" w:eastAsia="宋体"/>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80" w:firstLineChars="100"/>
      <w:rPr>
        <w:rFonts w:hint="eastAsia" w:ascii="宋体" w:hAnsi="宋体" w:eastAsia="宋体"/>
        <w:sz w:val="28"/>
      </w:rPr>
    </w:pPr>
    <w:r>
      <w:rPr>
        <w:rFonts w:hint="eastAsia" w:ascii="宋体" w:hAnsi="宋体" w:eastAsia="宋体"/>
        <w:sz w:val="28"/>
      </w:rPr>
      <w:t>—</w:t>
    </w:r>
    <w:r>
      <w:rPr>
        <w:rFonts w:hint="eastAsia" w:ascii="宋体" w:hAnsi="宋体" w:eastAsia="宋体"/>
        <w:sz w:val="28"/>
        <w:lang w:val="en-US" w:eastAsia="zh-CN"/>
      </w:rPr>
      <w:t xml:space="preserve"> </w:t>
    </w:r>
    <w:r>
      <w:rPr>
        <w:rFonts w:ascii="宋体" w:hAnsi="宋体" w:eastAsia="宋体"/>
        <w:sz w:val="28"/>
      </w:rPr>
      <w:fldChar w:fldCharType="begin"/>
    </w:r>
    <w:r>
      <w:rPr>
        <w:rStyle w:val="9"/>
        <w:rFonts w:ascii="宋体" w:hAnsi="宋体" w:eastAsia="宋体"/>
        <w:sz w:val="28"/>
      </w:rPr>
      <w:instrText xml:space="preserve"> PAGE </w:instrText>
    </w:r>
    <w:r>
      <w:rPr>
        <w:rFonts w:ascii="宋体" w:hAnsi="宋体" w:eastAsia="宋体"/>
        <w:sz w:val="28"/>
      </w:rPr>
      <w:fldChar w:fldCharType="separate"/>
    </w:r>
    <w:r>
      <w:rPr>
        <w:rStyle w:val="9"/>
        <w:rFonts w:ascii="宋体" w:hAnsi="宋体" w:eastAsia="宋体"/>
        <w:sz w:val="28"/>
      </w:rPr>
      <w:t>2</w:t>
    </w:r>
    <w:r>
      <w:rPr>
        <w:rFonts w:ascii="宋体" w:hAnsi="宋体" w:eastAsia="宋体"/>
        <w:sz w:val="28"/>
      </w:rPr>
      <w:fldChar w:fldCharType="end"/>
    </w:r>
    <w:r>
      <w:rPr>
        <w:rFonts w:hint="eastAsia" w:ascii="宋体" w:hAnsi="宋体" w:eastAsia="宋体"/>
        <w:sz w:val="28"/>
        <w:lang w:val="en-US" w:eastAsia="zh-CN"/>
      </w:rPr>
      <w:t xml:space="preserve"> </w:t>
    </w:r>
    <w:r>
      <w:rPr>
        <w:rFonts w:hint="eastAsia" w:ascii="宋体" w:hAnsi="宋体" w:eastAsia="宋体"/>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5C125805"/>
    <w:rsid w:val="04EC458F"/>
    <w:rsid w:val="07CA6A21"/>
    <w:rsid w:val="0CBA002A"/>
    <w:rsid w:val="0CEE6F84"/>
    <w:rsid w:val="12076ACD"/>
    <w:rsid w:val="18EF45CF"/>
    <w:rsid w:val="195E35A8"/>
    <w:rsid w:val="1C4F6265"/>
    <w:rsid w:val="234C3810"/>
    <w:rsid w:val="26502390"/>
    <w:rsid w:val="29C0782D"/>
    <w:rsid w:val="2C1E627E"/>
    <w:rsid w:val="2C8D572B"/>
    <w:rsid w:val="3056521D"/>
    <w:rsid w:val="326C15ED"/>
    <w:rsid w:val="374D44E5"/>
    <w:rsid w:val="383B0B7A"/>
    <w:rsid w:val="3E3B34E2"/>
    <w:rsid w:val="45BC1B96"/>
    <w:rsid w:val="47F94CDF"/>
    <w:rsid w:val="482F1B61"/>
    <w:rsid w:val="496101F4"/>
    <w:rsid w:val="4A58198E"/>
    <w:rsid w:val="4BDF5B6A"/>
    <w:rsid w:val="4C1002E3"/>
    <w:rsid w:val="5A7B0A82"/>
    <w:rsid w:val="5A867B53"/>
    <w:rsid w:val="5A980ACA"/>
    <w:rsid w:val="5C125805"/>
    <w:rsid w:val="5C83568B"/>
    <w:rsid w:val="5CBB75C6"/>
    <w:rsid w:val="5D535248"/>
    <w:rsid w:val="5F233E49"/>
    <w:rsid w:val="6325211C"/>
    <w:rsid w:val="64B90AF8"/>
    <w:rsid w:val="6D4D2D56"/>
    <w:rsid w:val="6F9401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2"/>
    <w:basedOn w:val="1"/>
    <w:next w:val="1"/>
    <w:qFormat/>
    <w:uiPriority w:val="0"/>
    <w:pPr>
      <w:keepNext/>
      <w:keepLines/>
      <w:adjustRightInd w:val="0"/>
      <w:snapToGrid w:val="0"/>
      <w:spacing w:line="460" w:lineRule="exact"/>
      <w:ind w:firstLine="200" w:firstLineChars="200"/>
      <w:outlineLvl w:val="1"/>
    </w:pPr>
    <w:rPr>
      <w:rFonts w:cs="Times New Roman"/>
      <w:b/>
      <w:bCs/>
      <w:sz w:val="26"/>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next w:val="1"/>
    <w:qFormat/>
    <w:uiPriority w:val="0"/>
    <w:pPr>
      <w:widowControl/>
      <w:jc w:val="left"/>
    </w:pPr>
    <w:rPr>
      <w:rFonts w:eastAsia="宋体"/>
      <w:kern w:val="0"/>
      <w:szCs w:val="20"/>
    </w:rPr>
  </w:style>
  <w:style w:type="paragraph" w:styleId="4">
    <w:name w:val="Plain Text"/>
    <w:basedOn w:val="1"/>
    <w:qFormat/>
    <w:uiPriority w:val="0"/>
    <w:rPr>
      <w:rFonts w:ascii="宋体" w:hAnsi="Courier New" w:eastAsia="Times New Roman"/>
      <w:sz w:val="21"/>
      <w:szCs w:val="20"/>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paragraph" w:customStyle="1" w:styleId="10">
    <w:name w:val="tb"/>
    <w:basedOn w:val="1"/>
    <w:qFormat/>
    <w:uiPriority w:val="0"/>
    <w:pPr>
      <w:spacing w:line="400" w:lineRule="atLeast"/>
    </w:pPr>
    <w:rPr>
      <w:rFonts w:ascii="宋体" w:hAnsi="Arial" w:eastAsia="宋体"/>
      <w:sz w:val="24"/>
      <w:szCs w:val="22"/>
    </w:rPr>
  </w:style>
  <w:style w:type="paragraph" w:customStyle="1" w:styleId="11">
    <w:name w:val="Char Char1 Char"/>
    <w:basedOn w:val="1"/>
    <w:qFormat/>
    <w:uiPriority w:val="0"/>
    <w:rPr>
      <w:rFonts w:eastAsia="宋体"/>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2022-06-28T07:48:00Z</dcterms:created>
  <dc:creator>WPS_1372227755</dc:creator>
  <cp:lastModifiedBy>WPS_1372227755</cp:lastModifiedBy>
  <cp:lastPrinted>2023-03-15T09:13:00Z</cp:lastPrinted>
  <dcterms:modified xsi:type="dcterms:W3CDTF">2023-08-07T01:22:28Z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00B1BAFBD45D4045BCDEC515716CBF73_13</vt:lpwstr>
  </property>
</Properties>
</file>