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方正小标宋简体" w:hAnsi="仿宋" w:eastAsia="方正小标宋简体" w:cs="方正仿宋简体"/>
          <w:sz w:val="32"/>
          <w:szCs w:val="32"/>
        </w:rPr>
      </w:pPr>
      <w:r>
        <w:rPr>
          <w:rFonts w:hint="eastAsia" w:ascii="方正小标宋简体" w:hAnsi="仿宋" w:eastAsia="方正小标宋简体" w:cs="方正仿宋简体"/>
          <w:sz w:val="32"/>
          <w:szCs w:val="32"/>
        </w:rPr>
        <w:t>重庆市婴儿爬行垫产品质量监督抽查实施细则</w:t>
      </w:r>
    </w:p>
    <w:p>
      <w:pPr>
        <w:snapToGrid w:val="0"/>
        <w:spacing w:line="360" w:lineRule="auto"/>
        <w:jc w:val="center"/>
        <w:rPr>
          <w:rFonts w:hint="eastAsia" w:ascii="方正小标宋简体" w:hAnsi="仿宋" w:eastAsia="方正小标宋简体" w:cs="方正仿宋简体"/>
          <w:sz w:val="32"/>
          <w:szCs w:val="32"/>
        </w:rPr>
      </w:pPr>
      <w:r>
        <w:rPr>
          <w:rFonts w:hint="eastAsia" w:ascii="方正小标宋简体" w:hAnsi="仿宋" w:eastAsia="方正小标宋简体" w:cs="方正仿宋简体"/>
          <w:sz w:val="32"/>
          <w:szCs w:val="32"/>
        </w:rPr>
        <w:t>（2023年</w:t>
      </w:r>
      <w:r>
        <w:rPr>
          <w:rFonts w:hint="eastAsia" w:ascii="宋体" w:hAnsi="宋体" w:cs="宋体"/>
          <w:sz w:val="32"/>
          <w:szCs w:val="32"/>
        </w:rPr>
        <w:t>版</w:t>
      </w:r>
      <w:r>
        <w:rPr>
          <w:rFonts w:hint="eastAsia" w:ascii="方正小标宋简体" w:hAnsi="仿宋" w:eastAsia="方正小标宋简体" w:cs="方正仿宋简体"/>
          <w:sz w:val="32"/>
          <w:szCs w:val="32"/>
        </w:rPr>
        <w:t>）</w:t>
      </w:r>
    </w:p>
    <w:p>
      <w:pPr>
        <w:snapToGrid w:val="0"/>
        <w:spacing w:line="360" w:lineRule="auto"/>
        <w:jc w:val="left"/>
        <w:rPr>
          <w:rFonts w:hint="eastAsia" w:ascii="黑体" w:hAnsi="宋体" w:eastAsia="黑体"/>
          <w:szCs w:val="21"/>
        </w:rPr>
      </w:pPr>
    </w:p>
    <w:p>
      <w:pPr>
        <w:snapToGrid w:val="0"/>
        <w:spacing w:line="360" w:lineRule="auto"/>
        <w:jc w:val="left"/>
        <w:rPr>
          <w:rFonts w:ascii="黑体" w:hAnsi="宋体" w:eastAsia="黑体"/>
          <w:szCs w:val="21"/>
        </w:rPr>
      </w:pPr>
      <w:r>
        <w:rPr>
          <w:rFonts w:hint="eastAsia" w:ascii="黑体" w:hAnsi="宋体" w:eastAsia="黑体"/>
          <w:szCs w:val="21"/>
        </w:rPr>
        <w:t>1 抽样方法</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以随机抽样的方式在被抽样生产者、销售者的待销产品中抽取。</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随机数一般可使用随机数表等方法产生。</w:t>
      </w:r>
    </w:p>
    <w:p>
      <w:pPr>
        <w:snapToGrid w:val="0"/>
        <w:spacing w:line="440" w:lineRule="exact"/>
        <w:ind w:firstLine="420" w:firstLineChars="200"/>
        <w:rPr>
          <w:rFonts w:hint="eastAsia" w:ascii="宋体" w:hAnsi="宋体"/>
          <w:color w:val="000000"/>
          <w:szCs w:val="21"/>
        </w:rPr>
      </w:pPr>
      <w:r>
        <w:rPr>
          <w:rFonts w:hint="eastAsia" w:ascii="宋体" w:hAnsi="宋体"/>
          <w:color w:val="000000"/>
          <w:szCs w:val="21"/>
        </w:rPr>
        <w:t>每批次抽取样品3件，其中2件作为检验样品，1件作为备用样品。</w:t>
      </w:r>
    </w:p>
    <w:p>
      <w:pPr>
        <w:snapToGrid w:val="0"/>
        <w:spacing w:line="440" w:lineRule="exact"/>
        <w:ind w:firstLine="420" w:firstLineChars="200"/>
        <w:rPr>
          <w:rFonts w:hint="eastAsia" w:ascii="宋体" w:hAnsi="宋体"/>
          <w:color w:val="000000"/>
          <w:szCs w:val="21"/>
        </w:rPr>
      </w:pPr>
    </w:p>
    <w:p>
      <w:pPr>
        <w:snapToGrid w:val="0"/>
        <w:spacing w:line="440" w:lineRule="exact"/>
        <w:rPr>
          <w:rFonts w:hint="eastAsia" w:ascii="黑体" w:hAnsi="宋体" w:eastAsia="黑体"/>
          <w:szCs w:val="21"/>
        </w:rPr>
      </w:pPr>
      <w:r>
        <w:rPr>
          <w:rFonts w:hint="eastAsia" w:ascii="黑体" w:hAnsi="宋体" w:eastAsia="黑体"/>
          <w:szCs w:val="21"/>
        </w:rPr>
        <w:t>2 检验依据</w:t>
      </w:r>
    </w:p>
    <w:p>
      <w:pPr>
        <w:snapToGrid w:val="0"/>
        <w:spacing w:line="440" w:lineRule="exact"/>
        <w:rPr>
          <w:rFonts w:hint="eastAsia" w:ascii="黑体" w:hAnsi="宋体" w:eastAsia="黑体"/>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827"/>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top"/>
          </w:tcPr>
          <w:p>
            <w:pPr>
              <w:widowControl/>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3827" w:type="dxa"/>
            <w:noWrap w:val="0"/>
            <w:vAlign w:val="top"/>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检验项目</w:t>
            </w:r>
          </w:p>
        </w:tc>
        <w:tc>
          <w:tcPr>
            <w:tcW w:w="3899" w:type="dxa"/>
            <w:noWrap w:val="0"/>
            <w:vAlign w:val="top"/>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8" w:type="dxa"/>
            <w:gridSpan w:val="3"/>
            <w:noWrap w:val="0"/>
            <w:vAlign w:val="top"/>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一、机械与物理性能（正常使用和可预见的合理滥用）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材料</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小零件</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某些特定玩具的形状、尺寸及强度</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边缘</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尖端</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突出部件</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7</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用于包装或玩具中的塑料袋或塑料薄膜</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绳索和弹性绳</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w:t>
            </w:r>
          </w:p>
        </w:tc>
        <w:tc>
          <w:tcPr>
            <w:tcW w:w="3827" w:type="dxa"/>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孔、间隙、机械装置的可触及性</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6675.2-2014</w:t>
            </w:r>
            <w:r>
              <w:rPr>
                <w:rFonts w:hint="eastAsia" w:ascii="宋体" w:hAnsi="宋体"/>
                <w:color w:val="000000"/>
                <w:szCs w:val="21"/>
              </w:rPr>
              <w:t>（含第1号修改单）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8" w:type="dxa"/>
            <w:gridSpan w:val="3"/>
            <w:noWrap w:val="0"/>
            <w:vAlign w:val="top"/>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二、易燃性能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w:t>
            </w:r>
          </w:p>
        </w:tc>
        <w:tc>
          <w:tcPr>
            <w:tcW w:w="3827" w:type="dxa"/>
            <w:noWrap w:val="0"/>
            <w:vAlign w:val="top"/>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一般要求</w:t>
            </w:r>
          </w:p>
        </w:tc>
        <w:tc>
          <w:tcPr>
            <w:tcW w:w="3899" w:type="dxa"/>
            <w:noWrap w:val="0"/>
            <w:vAlign w:val="top"/>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8" w:type="dxa"/>
            <w:gridSpan w:val="3"/>
            <w:noWrap w:val="0"/>
            <w:vAlign w:val="top"/>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三、</w:t>
            </w:r>
            <w:r>
              <w:rPr>
                <w:rFonts w:hint="eastAsia" w:cs="宋体"/>
                <w:bCs/>
                <w:szCs w:val="21"/>
              </w:rPr>
              <w:t>特定元素的迁移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w:t>
            </w:r>
          </w:p>
        </w:tc>
        <w:tc>
          <w:tcPr>
            <w:tcW w:w="3827" w:type="dxa"/>
            <w:noWrap w:val="0"/>
            <w:vAlign w:val="top"/>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可迁移元素最大限量要求</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rPr>
              <w:t>GB 6675.4-2014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9" w:type="dxa"/>
            <w:gridSpan w:val="2"/>
            <w:noWrap w:val="0"/>
            <w:vAlign w:val="center"/>
          </w:tcPr>
          <w:p>
            <w:pPr>
              <w:widowControl/>
              <w:spacing w:line="240" w:lineRule="auto"/>
              <w:jc w:val="left"/>
              <w:rPr>
                <w:rFonts w:hint="eastAsia" w:ascii="宋体" w:hAnsi="宋体" w:cs="宋体"/>
                <w:color w:val="000000"/>
                <w:kern w:val="0"/>
                <w:szCs w:val="21"/>
              </w:rPr>
            </w:pPr>
            <w:r>
              <w:rPr>
                <w:rFonts w:hint="eastAsia" w:ascii="宋体" w:hAnsi="宋体" w:cs="宋体"/>
                <w:color w:val="000000"/>
                <w:kern w:val="0"/>
                <w:szCs w:val="21"/>
              </w:rPr>
              <w:t>四、</w:t>
            </w:r>
            <w:r>
              <w:rPr>
                <w:rFonts w:ascii="Times New Roman" w:hAnsi="Times New Roman"/>
                <w:bCs/>
                <w:szCs w:val="21"/>
              </w:rPr>
              <w:t>增塑剂</w:t>
            </w:r>
          </w:p>
        </w:tc>
        <w:tc>
          <w:tcPr>
            <w:tcW w:w="3899" w:type="dxa"/>
            <w:noWrap w:val="0"/>
            <w:vAlign w:val="center"/>
          </w:tcPr>
          <w:p>
            <w:pPr>
              <w:widowControl/>
              <w:spacing w:line="240" w:lineRule="auto"/>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13</w:t>
            </w:r>
          </w:p>
        </w:tc>
        <w:tc>
          <w:tcPr>
            <w:tcW w:w="3827"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lang w:val="zh-CN"/>
              </w:rPr>
              <w:t>限定增塑剂类别和限量要求</w:t>
            </w:r>
          </w:p>
        </w:tc>
        <w:tc>
          <w:tcPr>
            <w:tcW w:w="3899" w:type="dxa"/>
            <w:noWrap w:val="0"/>
            <w:vAlign w:val="center"/>
          </w:tcPr>
          <w:p>
            <w:pPr>
              <w:widowControl/>
              <w:spacing w:line="240" w:lineRule="auto"/>
              <w:jc w:val="center"/>
              <w:rPr>
                <w:rFonts w:hint="eastAsia" w:ascii="宋体" w:hAnsi="宋体" w:cs="宋体"/>
                <w:color w:val="000000"/>
                <w:kern w:val="0"/>
                <w:szCs w:val="21"/>
              </w:rPr>
            </w:pPr>
            <w:r>
              <w:rPr>
                <w:rFonts w:hint="eastAsia" w:ascii="宋体" w:hAnsi="宋体" w:cs="宋体"/>
                <w:color w:val="000000"/>
                <w:kern w:val="0"/>
                <w:szCs w:val="21"/>
                <w:lang w:val="zh-CN"/>
              </w:rPr>
              <w:t>GB/T 22048</w:t>
            </w:r>
          </w:p>
        </w:tc>
      </w:tr>
    </w:tbl>
    <w:p>
      <w:pPr>
        <w:snapToGrid w:val="0"/>
        <w:spacing w:line="440" w:lineRule="exact"/>
        <w:ind w:firstLine="359" w:firstLineChars="171"/>
        <w:rPr>
          <w:rFonts w:ascii="宋体" w:hAnsi="宋体"/>
          <w:color w:val="000000"/>
          <w:szCs w:val="21"/>
        </w:rPr>
      </w:pPr>
      <w:r>
        <w:rPr>
          <w:rFonts w:hint="eastAsia" w:ascii="宋体" w:hAnsi="宋体"/>
          <w:szCs w:val="21"/>
        </w:rPr>
        <w:t>凡是注日期的文件，其随后所有的修改单（不包括勘误的内容）或修订版不适用于本细则。</w:t>
      </w:r>
      <w:r>
        <w:rPr>
          <w:rFonts w:hint="eastAsia" w:ascii="宋体" w:hAnsi="宋体"/>
          <w:color w:val="000000"/>
          <w:szCs w:val="21"/>
        </w:rPr>
        <w:t>凡是不注日期的文件，其最新版本适用于本细则。</w:t>
      </w:r>
    </w:p>
    <w:p>
      <w:pPr>
        <w:snapToGrid w:val="0"/>
        <w:spacing w:line="440" w:lineRule="exact"/>
        <w:rPr>
          <w:rFonts w:hint="eastAsia" w:ascii="宋体" w:hAnsi="宋体"/>
          <w:szCs w:val="21"/>
        </w:rPr>
      </w:pPr>
    </w:p>
    <w:p>
      <w:pPr>
        <w:spacing w:line="360" w:lineRule="auto"/>
        <w:rPr>
          <w:rFonts w:hint="eastAsia" w:ascii="黑体" w:hAnsi="黑体" w:eastAsia="黑体"/>
          <w:szCs w:val="21"/>
        </w:rPr>
      </w:pPr>
      <w:r>
        <w:rPr>
          <w:rFonts w:hint="eastAsia" w:ascii="黑体" w:hAnsi="黑体" w:eastAsia="黑体"/>
          <w:szCs w:val="21"/>
        </w:rPr>
        <w:t>3 判定规则</w:t>
      </w:r>
    </w:p>
    <w:p>
      <w:pPr>
        <w:snapToGrid w:val="0"/>
        <w:spacing w:line="440" w:lineRule="exact"/>
        <w:rPr>
          <w:rFonts w:hint="eastAsia" w:ascii="宋体" w:hAnsi="宋体"/>
          <w:szCs w:val="21"/>
        </w:rPr>
      </w:pPr>
      <w:r>
        <w:rPr>
          <w:rFonts w:hint="eastAsia" w:ascii="宋体" w:hAnsi="宋体"/>
          <w:szCs w:val="21"/>
        </w:rPr>
        <w:t>3.1依据标准</w:t>
      </w:r>
    </w:p>
    <w:p>
      <w:pPr>
        <w:adjustRightInd w:val="0"/>
        <w:snapToGrid w:val="0"/>
        <w:spacing w:line="440" w:lineRule="exact"/>
        <w:ind w:firstLine="420" w:firstLineChars="200"/>
        <w:rPr>
          <w:rFonts w:ascii="宋体" w:hAnsi="宋体"/>
          <w:szCs w:val="21"/>
        </w:rPr>
      </w:pPr>
      <w:r>
        <w:rPr>
          <w:rFonts w:hint="eastAsia" w:ascii="宋体" w:hAnsi="宋体"/>
          <w:color w:val="000000"/>
          <w:szCs w:val="21"/>
        </w:rPr>
        <w:t>GB 6675.1-2014 玩具安全 第1部分：基本规范</w:t>
      </w:r>
    </w:p>
    <w:p>
      <w:pPr>
        <w:snapToGrid w:val="0"/>
        <w:spacing w:line="440" w:lineRule="exact"/>
        <w:ind w:firstLine="417" w:firstLineChars="199"/>
        <w:rPr>
          <w:rFonts w:hint="eastAsia" w:ascii="宋体" w:hAnsi="宋体"/>
          <w:color w:val="000000"/>
          <w:szCs w:val="21"/>
        </w:rPr>
      </w:pPr>
      <w:r>
        <w:rPr>
          <w:rFonts w:hint="eastAsia" w:ascii="宋体" w:hAnsi="宋体"/>
          <w:color w:val="000000"/>
          <w:szCs w:val="21"/>
        </w:rPr>
        <w:t>GB 6675.2—2014（含第1号修改单） 玩具安全 第2部分：机械与物理性能</w:t>
      </w:r>
    </w:p>
    <w:p>
      <w:pPr>
        <w:snapToGrid w:val="0"/>
        <w:spacing w:line="440" w:lineRule="exact"/>
        <w:ind w:firstLine="417" w:firstLineChars="199"/>
        <w:rPr>
          <w:rFonts w:ascii="宋体" w:hAnsi="宋体"/>
          <w:szCs w:val="21"/>
        </w:rPr>
      </w:pPr>
      <w:r>
        <w:rPr>
          <w:rFonts w:hint="eastAsia" w:ascii="宋体" w:hAnsi="宋体"/>
          <w:color w:val="000000"/>
          <w:szCs w:val="21"/>
        </w:rPr>
        <w:t>GB 6675.3-2014 玩具安全 第3部分：易燃性能</w:t>
      </w:r>
    </w:p>
    <w:p>
      <w:pPr>
        <w:snapToGrid w:val="0"/>
        <w:spacing w:line="440" w:lineRule="exact"/>
        <w:ind w:firstLine="417" w:firstLineChars="199"/>
        <w:rPr>
          <w:rFonts w:hint="eastAsia" w:ascii="宋体" w:hAnsi="宋体"/>
          <w:color w:val="000000"/>
          <w:szCs w:val="21"/>
        </w:rPr>
      </w:pPr>
      <w:r>
        <w:rPr>
          <w:rFonts w:hint="eastAsia" w:ascii="宋体" w:hAnsi="宋体"/>
          <w:color w:val="000000"/>
          <w:szCs w:val="21"/>
        </w:rPr>
        <w:t>GB 6675.4-2014 玩具安全 第4部分：特定元素的迁移</w:t>
      </w:r>
    </w:p>
    <w:p>
      <w:pPr>
        <w:snapToGrid w:val="0"/>
        <w:spacing w:line="440" w:lineRule="exact"/>
        <w:ind w:firstLine="420" w:firstLineChars="200"/>
        <w:rPr>
          <w:rFonts w:hint="eastAsia" w:ascii="宋体" w:hAnsi="宋体"/>
          <w:szCs w:val="21"/>
        </w:rPr>
      </w:pPr>
      <w:r>
        <w:rPr>
          <w:rFonts w:hint="eastAsia" w:ascii="宋体" w:hAnsi="宋体"/>
          <w:szCs w:val="21"/>
        </w:rPr>
        <w:t>现行有效的企业标准、团体标准、地方标准及产品明示质量要求</w:t>
      </w:r>
    </w:p>
    <w:p>
      <w:pPr>
        <w:snapToGrid w:val="0"/>
        <w:spacing w:line="440" w:lineRule="exact"/>
        <w:outlineLvl w:val="0"/>
        <w:rPr>
          <w:rFonts w:hint="eastAsia" w:ascii="宋体" w:hAnsi="宋体"/>
          <w:szCs w:val="21"/>
        </w:rPr>
      </w:pPr>
      <w:r>
        <w:rPr>
          <w:rFonts w:hint="eastAsia" w:ascii="宋体" w:hAnsi="宋体"/>
          <w:szCs w:val="21"/>
        </w:rPr>
        <w:t>3.2判定原则</w:t>
      </w:r>
    </w:p>
    <w:p>
      <w:pPr>
        <w:snapToGrid w:val="0"/>
        <w:spacing w:line="440" w:lineRule="exact"/>
        <w:ind w:firstLine="420" w:firstLineChars="200"/>
        <w:rPr>
          <w:rFonts w:ascii="宋体" w:hAnsi="宋体"/>
          <w:szCs w:val="21"/>
        </w:rPr>
      </w:pPr>
      <w:r>
        <w:rPr>
          <w:rFonts w:hint="eastAsia" w:ascii="宋体" w:hAnsi="宋体"/>
          <w:szCs w:val="21"/>
        </w:rPr>
        <w:t>经检验，检验项目全部合格，判定为被抽查产品合格；检验项目中任一项或一项以上不合格，判定为被抽查产品不合格。</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若被检产品明示的质量要求缺少本细则中检验项目依据的推荐性标准要求时，该项目不参与判定。</w:t>
      </w: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8C16D5E-3BB4-4C7B-A7AA-8F70002806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embedRegular r:id="rId2" w:fontKey="{850C6A84-C3DA-4E73-808E-7CD310EDF335}"/>
  </w:font>
  <w:font w:name="仿宋">
    <w:panose1 w:val="02010609060101010101"/>
    <w:charset w:val="86"/>
    <w:family w:val="modern"/>
    <w:pitch w:val="default"/>
    <w:sig w:usb0="800002BF" w:usb1="38CF7CFA" w:usb2="00000016" w:usb3="00000000" w:csb0="00040001" w:csb1="00000000"/>
    <w:embedRegular r:id="rId3" w:fontKey="{972A4153-E97C-44A6-9DF8-FE009228C13C}"/>
  </w:font>
  <w:font w:name="方正仿宋简体">
    <w:panose1 w:val="03000509000000000000"/>
    <w:charset w:val="86"/>
    <w:family w:val="auto"/>
    <w:pitch w:val="default"/>
    <w:sig w:usb0="00000001" w:usb1="080E0000" w:usb2="00000000" w:usb3="00000000" w:csb0="00040000" w:csb1="00000000"/>
    <w:embedRegular r:id="rId4" w:fontKey="{DA77790D-0E04-49D1-88AD-80C33492BB5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NzIxZTZjZTM0MTUwYjQzYTBkNjc2OWM5Y2MyMmMifQ=="/>
  </w:docVars>
  <w:rsids>
    <w:rsidRoot w:val="00172A27"/>
    <w:rsid w:val="00051A44"/>
    <w:rsid w:val="00081CBD"/>
    <w:rsid w:val="000976DE"/>
    <w:rsid w:val="000D3860"/>
    <w:rsid w:val="000F0E10"/>
    <w:rsid w:val="001357A4"/>
    <w:rsid w:val="001809DD"/>
    <w:rsid w:val="001C3FEB"/>
    <w:rsid w:val="002006CA"/>
    <w:rsid w:val="00232530"/>
    <w:rsid w:val="00253624"/>
    <w:rsid w:val="002D7F8A"/>
    <w:rsid w:val="002E0D1D"/>
    <w:rsid w:val="003203A3"/>
    <w:rsid w:val="003A4A28"/>
    <w:rsid w:val="003C388C"/>
    <w:rsid w:val="003D3708"/>
    <w:rsid w:val="003E61BF"/>
    <w:rsid w:val="00445E86"/>
    <w:rsid w:val="00474E04"/>
    <w:rsid w:val="004A64D0"/>
    <w:rsid w:val="004D0C5A"/>
    <w:rsid w:val="004E1396"/>
    <w:rsid w:val="00563EBC"/>
    <w:rsid w:val="0060563E"/>
    <w:rsid w:val="00645960"/>
    <w:rsid w:val="006E1171"/>
    <w:rsid w:val="006F0971"/>
    <w:rsid w:val="0072334C"/>
    <w:rsid w:val="00813A1E"/>
    <w:rsid w:val="00842D03"/>
    <w:rsid w:val="0086179B"/>
    <w:rsid w:val="00895BEA"/>
    <w:rsid w:val="008A3497"/>
    <w:rsid w:val="008F4078"/>
    <w:rsid w:val="00914713"/>
    <w:rsid w:val="00917A54"/>
    <w:rsid w:val="009255A7"/>
    <w:rsid w:val="009C29A9"/>
    <w:rsid w:val="00A43553"/>
    <w:rsid w:val="00AC5391"/>
    <w:rsid w:val="00BF2B8C"/>
    <w:rsid w:val="00C26074"/>
    <w:rsid w:val="00C83B0A"/>
    <w:rsid w:val="00CE1E0C"/>
    <w:rsid w:val="00CE277E"/>
    <w:rsid w:val="00D56867"/>
    <w:rsid w:val="00D6713D"/>
    <w:rsid w:val="00DE211A"/>
    <w:rsid w:val="00E02A7F"/>
    <w:rsid w:val="00E07880"/>
    <w:rsid w:val="00E82621"/>
    <w:rsid w:val="00F03393"/>
    <w:rsid w:val="00F77C9A"/>
    <w:rsid w:val="00FB576C"/>
    <w:rsid w:val="00FD2AA6"/>
    <w:rsid w:val="00FE7E8A"/>
    <w:rsid w:val="01110335"/>
    <w:rsid w:val="018678C6"/>
    <w:rsid w:val="02DA5577"/>
    <w:rsid w:val="037457E1"/>
    <w:rsid w:val="03AA503F"/>
    <w:rsid w:val="03F437D6"/>
    <w:rsid w:val="044805D3"/>
    <w:rsid w:val="04676D21"/>
    <w:rsid w:val="051B1302"/>
    <w:rsid w:val="058524BB"/>
    <w:rsid w:val="06FC653B"/>
    <w:rsid w:val="07DB5A6A"/>
    <w:rsid w:val="08070112"/>
    <w:rsid w:val="08F24754"/>
    <w:rsid w:val="0A567193"/>
    <w:rsid w:val="0A9E0ABC"/>
    <w:rsid w:val="0AB15358"/>
    <w:rsid w:val="0B495CC0"/>
    <w:rsid w:val="0B752F97"/>
    <w:rsid w:val="0C613281"/>
    <w:rsid w:val="0D384437"/>
    <w:rsid w:val="0F326A35"/>
    <w:rsid w:val="0FF616DF"/>
    <w:rsid w:val="1027158B"/>
    <w:rsid w:val="111D5F5C"/>
    <w:rsid w:val="115C0B7A"/>
    <w:rsid w:val="129B125C"/>
    <w:rsid w:val="12B74FB2"/>
    <w:rsid w:val="12CC3DB0"/>
    <w:rsid w:val="12CF4B60"/>
    <w:rsid w:val="14D80D51"/>
    <w:rsid w:val="15045625"/>
    <w:rsid w:val="154343FF"/>
    <w:rsid w:val="16BF53A1"/>
    <w:rsid w:val="16D14115"/>
    <w:rsid w:val="18A71C2E"/>
    <w:rsid w:val="18EA2974"/>
    <w:rsid w:val="19405031"/>
    <w:rsid w:val="19462E28"/>
    <w:rsid w:val="1AA8728E"/>
    <w:rsid w:val="1AC80BC9"/>
    <w:rsid w:val="1AE350B0"/>
    <w:rsid w:val="1C4518EC"/>
    <w:rsid w:val="1D2F23E6"/>
    <w:rsid w:val="1D831D08"/>
    <w:rsid w:val="1EB012CC"/>
    <w:rsid w:val="1ECD1561"/>
    <w:rsid w:val="1F0E72C4"/>
    <w:rsid w:val="1FA603A1"/>
    <w:rsid w:val="20931AF0"/>
    <w:rsid w:val="21A9050C"/>
    <w:rsid w:val="25302F52"/>
    <w:rsid w:val="253C3FB6"/>
    <w:rsid w:val="25480530"/>
    <w:rsid w:val="25D33830"/>
    <w:rsid w:val="26C96B82"/>
    <w:rsid w:val="27115E29"/>
    <w:rsid w:val="296409A1"/>
    <w:rsid w:val="2AB70A0A"/>
    <w:rsid w:val="2AB8313C"/>
    <w:rsid w:val="2AE114C4"/>
    <w:rsid w:val="2D151497"/>
    <w:rsid w:val="2D623C15"/>
    <w:rsid w:val="301C1346"/>
    <w:rsid w:val="30AE35AF"/>
    <w:rsid w:val="31CF2506"/>
    <w:rsid w:val="32DF201B"/>
    <w:rsid w:val="332B673A"/>
    <w:rsid w:val="339679DB"/>
    <w:rsid w:val="33EF0864"/>
    <w:rsid w:val="35AA78C6"/>
    <w:rsid w:val="36016852"/>
    <w:rsid w:val="36DC18B8"/>
    <w:rsid w:val="39D52C5B"/>
    <w:rsid w:val="3B5D507E"/>
    <w:rsid w:val="3C3B0419"/>
    <w:rsid w:val="3CC905EF"/>
    <w:rsid w:val="3DAD2D96"/>
    <w:rsid w:val="3DEA63D9"/>
    <w:rsid w:val="40D96B16"/>
    <w:rsid w:val="4144316E"/>
    <w:rsid w:val="41D323CF"/>
    <w:rsid w:val="42C23DD1"/>
    <w:rsid w:val="436A5FE1"/>
    <w:rsid w:val="43AE6EC5"/>
    <w:rsid w:val="448D6AA9"/>
    <w:rsid w:val="4504461A"/>
    <w:rsid w:val="467A1DAE"/>
    <w:rsid w:val="47A821E6"/>
    <w:rsid w:val="47B61112"/>
    <w:rsid w:val="487450E2"/>
    <w:rsid w:val="488344C3"/>
    <w:rsid w:val="48A55322"/>
    <w:rsid w:val="48CB6CC6"/>
    <w:rsid w:val="4A4B6FC7"/>
    <w:rsid w:val="4B0A48AF"/>
    <w:rsid w:val="4DF20915"/>
    <w:rsid w:val="4FD07A8D"/>
    <w:rsid w:val="500276CA"/>
    <w:rsid w:val="50E45083"/>
    <w:rsid w:val="513E1762"/>
    <w:rsid w:val="51743F31"/>
    <w:rsid w:val="522735F2"/>
    <w:rsid w:val="523C722A"/>
    <w:rsid w:val="523D5BD6"/>
    <w:rsid w:val="52E85E9E"/>
    <w:rsid w:val="53EC19B5"/>
    <w:rsid w:val="54103495"/>
    <w:rsid w:val="557464DF"/>
    <w:rsid w:val="559A1DF7"/>
    <w:rsid w:val="564D0B5B"/>
    <w:rsid w:val="58E26472"/>
    <w:rsid w:val="593A1383"/>
    <w:rsid w:val="5B6A3703"/>
    <w:rsid w:val="5B8909B6"/>
    <w:rsid w:val="5BC4734B"/>
    <w:rsid w:val="5C1E2D23"/>
    <w:rsid w:val="5C515A87"/>
    <w:rsid w:val="5D0E077E"/>
    <w:rsid w:val="5D2B0C71"/>
    <w:rsid w:val="5D764A50"/>
    <w:rsid w:val="5EE42548"/>
    <w:rsid w:val="5F2F2D15"/>
    <w:rsid w:val="5F467192"/>
    <w:rsid w:val="5F691B1C"/>
    <w:rsid w:val="60B72836"/>
    <w:rsid w:val="61331E1E"/>
    <w:rsid w:val="61B11B68"/>
    <w:rsid w:val="62D65141"/>
    <w:rsid w:val="62F074B1"/>
    <w:rsid w:val="63D7344B"/>
    <w:rsid w:val="651241D9"/>
    <w:rsid w:val="65284445"/>
    <w:rsid w:val="66A67E2A"/>
    <w:rsid w:val="67205E61"/>
    <w:rsid w:val="673F096A"/>
    <w:rsid w:val="67991AD2"/>
    <w:rsid w:val="6804726E"/>
    <w:rsid w:val="68332398"/>
    <w:rsid w:val="69E60C18"/>
    <w:rsid w:val="6B580E72"/>
    <w:rsid w:val="6C0D2091"/>
    <w:rsid w:val="6C727B74"/>
    <w:rsid w:val="6F1C3DCF"/>
    <w:rsid w:val="6F322AB5"/>
    <w:rsid w:val="6F4E61F1"/>
    <w:rsid w:val="70E20483"/>
    <w:rsid w:val="73193B52"/>
    <w:rsid w:val="74290395"/>
    <w:rsid w:val="76636D7B"/>
    <w:rsid w:val="77556E7A"/>
    <w:rsid w:val="797C7A7B"/>
    <w:rsid w:val="7B983662"/>
    <w:rsid w:val="7C8C5026"/>
    <w:rsid w:val="7D307AFF"/>
    <w:rsid w:val="7D9C729E"/>
    <w:rsid w:val="7E865636"/>
    <w:rsid w:val="7EA828BF"/>
    <w:rsid w:val="7F63247C"/>
    <w:rsid w:val="7FEC06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qFormat/>
    <w:uiPriority w:val="0"/>
    <w:pPr>
      <w:spacing w:after="120"/>
      <w:ind w:left="420" w:leftChars="200"/>
    </w:pPr>
  </w:style>
  <w:style w:type="paragraph" w:styleId="4">
    <w:name w:val="Plain Text"/>
    <w:basedOn w:val="1"/>
    <w:qFormat/>
    <w:uiPriority w:val="99"/>
    <w:rPr>
      <w:rFonts w:ascii="宋体" w:hAnsi="Courier New"/>
      <w:kern w:val="0"/>
      <w:sz w:val="20"/>
      <w:szCs w:val="20"/>
    </w:rPr>
  </w:style>
  <w:style w:type="paragraph" w:styleId="5">
    <w:name w:val="Balloon Text"/>
    <w:basedOn w:val="1"/>
    <w:link w:val="13"/>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批注框文本 Char"/>
    <w:basedOn w:val="11"/>
    <w:link w:val="5"/>
    <w:semiHidden/>
    <w:qFormat/>
    <w:uiPriority w:val="99"/>
    <w:rPr>
      <w:kern w:val="2"/>
      <w:sz w:val="18"/>
      <w:szCs w:val="18"/>
    </w:rPr>
  </w:style>
  <w:style w:type="character" w:customStyle="1" w:styleId="14">
    <w:name w:val="页脚 Char"/>
    <w:basedOn w:val="11"/>
    <w:link w:val="6"/>
    <w:qFormat/>
    <w:uiPriority w:val="99"/>
    <w:rPr>
      <w:kern w:val="2"/>
      <w:sz w:val="18"/>
      <w:szCs w:val="18"/>
    </w:rPr>
  </w:style>
  <w:style w:type="character" w:customStyle="1" w:styleId="15">
    <w:name w:val="页眉 Char"/>
    <w:basedOn w:val="11"/>
    <w:link w:val="7"/>
    <w:semiHidden/>
    <w:qFormat/>
    <w:uiPriority w:val="99"/>
    <w:rPr>
      <w:kern w:val="2"/>
      <w:sz w:val="18"/>
      <w:szCs w:val="18"/>
    </w:rPr>
  </w:style>
  <w:style w:type="paragraph" w:customStyle="1" w:styleId="16">
    <w:name w:val="标准正文"/>
    <w:basedOn w:val="3"/>
    <w:qFormat/>
    <w:uiPriority w:val="0"/>
    <w:pPr>
      <w:spacing w:before="60" w:after="60" w:line="360" w:lineRule="auto"/>
      <w:ind w:left="0" w:leftChars="0" w:firstLine="482"/>
      <w:jc w:val="left"/>
    </w:pPr>
    <w:rPr>
      <w:rFonts w:ascii="Arial" w:hAnsi="Arial"/>
      <w:sz w:val="24"/>
      <w:szCs w:val="20"/>
    </w:rPr>
  </w:style>
  <w:style w:type="paragraph" w:customStyle="1" w:styleId="17">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860</Words>
  <Characters>1040</Characters>
  <Lines>12</Lines>
  <Paragraphs>3</Paragraphs>
  <TotalTime>1</TotalTime>
  <ScaleCrop>false</ScaleCrop>
  <LinksUpToDate>false</LinksUpToDate>
  <CharactersWithSpaces>1067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2020-01-06T01:17:00Z</dcterms:created>
  <dc:creator>Legend User</dc:creator>
  <cp:lastModifiedBy>小宋</cp:lastModifiedBy>
  <cp:lastPrinted>2019-12-05T07:53:00Z</cp:lastPrinted>
  <dcterms:modified xsi:type="dcterms:W3CDTF">2023-06-21T02:40:44Z</dcterms:modified>
  <dc:title>××产品质量监督抽查实施细则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KSOSaveFontToCloudKey">
    <vt:lpwstr>705523681_btnclosed</vt:lpwstr>
  </property>
  <property fmtid="{D5CDD505-2E9C-101B-9397-08002B2CF9AE}" pid="4" name="ICV">
    <vt:lpwstr>07947A4378E147C3AFDB511891C290B6_13</vt:lpwstr>
  </property>
</Properties>
</file>