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both"/>
        <w:rPr>
          <w:rFonts w:hint="eastAsia" w:ascii="方正仿宋_GBK" w:hAnsi="方正仿宋_GBK" w:eastAsia="方正仿宋_GBK" w:cs="方正仿宋_GBK"/>
          <w:b w:val="0"/>
          <w:bCs/>
          <w:kern w:val="0"/>
          <w:sz w:val="32"/>
          <w:szCs w:val="32"/>
          <w:lang w:eastAsia="zh-CN"/>
        </w:rPr>
      </w:pPr>
      <w:bookmarkStart w:id="139" w:name="_GoBack"/>
      <w:bookmarkEnd w:id="139"/>
      <w:r>
        <w:rPr>
          <w:rFonts w:hint="eastAsia" w:ascii="方正黑体_GBK" w:hAnsi="方正黑体_GBK" w:eastAsia="方正黑体_GBK" w:cs="方正黑体_GBK"/>
          <w:b w:val="0"/>
          <w:bCs/>
          <w:kern w:val="0"/>
          <w:sz w:val="32"/>
          <w:szCs w:val="32"/>
          <w:lang w:eastAsia="zh-CN"/>
        </w:rPr>
        <w:t>附件</w:t>
      </w:r>
    </w:p>
    <w:p/>
    <w:p>
      <w:pPr>
        <w:snapToGrid w:val="0"/>
        <w:jc w:val="center"/>
        <w:rPr>
          <w:rFonts w:hint="eastAsia" w:ascii="Times New Roman" w:hAnsi="Times New Roman" w:eastAsia="方正小标宋_GBK" w:cs="Times New Roman"/>
          <w:kern w:val="0"/>
          <w:sz w:val="44"/>
          <w:szCs w:val="44"/>
        </w:rPr>
      </w:pPr>
    </w:p>
    <w:p>
      <w:pPr>
        <w:snapToGrid w:val="0"/>
        <w:jc w:val="center"/>
        <w:rPr>
          <w:rFonts w:hint="eastAsia" w:ascii="Times New Roman" w:hAnsi="Times New Roman" w:eastAsia="方正小标宋_GBK" w:cs="Times New Roman"/>
          <w:kern w:val="0"/>
          <w:sz w:val="44"/>
          <w:szCs w:val="44"/>
        </w:rPr>
      </w:pPr>
      <w:r>
        <w:rPr>
          <w:rFonts w:hint="eastAsia" w:ascii="Times New Roman" w:hAnsi="Times New Roman" w:eastAsia="方正小标宋_GBK" w:cs="Times New Roman"/>
          <w:kern w:val="0"/>
          <w:sz w:val="44"/>
          <w:szCs w:val="44"/>
        </w:rPr>
        <w:t>重庆市石柱县天然气长输管道事故应急预案</w:t>
      </w:r>
    </w:p>
    <w:p>
      <w:pPr>
        <w:snapToGrid w:val="0"/>
        <w:jc w:val="center"/>
        <w:rPr>
          <w:rFonts w:hint="eastAsia" w:ascii="Times New Roman" w:hAnsi="Times New Roman" w:eastAsia="方正小标宋_GBK" w:cs="Times New Roman"/>
          <w:kern w:val="0"/>
          <w:sz w:val="44"/>
          <w:szCs w:val="44"/>
          <w:lang w:val="en-US" w:eastAsia="zh-CN"/>
        </w:rPr>
      </w:pPr>
      <w:r>
        <w:rPr>
          <w:rFonts w:hint="eastAsia" w:ascii="Times New Roman" w:hAnsi="Times New Roman" w:eastAsia="方正小标宋_GBK" w:cs="Times New Roman"/>
          <w:kern w:val="0"/>
          <w:sz w:val="44"/>
          <w:szCs w:val="44"/>
          <w:lang w:val="en-US" w:eastAsia="zh-CN"/>
        </w:rPr>
        <w:t>（修订版）</w:t>
      </w:r>
    </w:p>
    <w:p>
      <w:pPr>
        <w:snapToGrid w:val="0"/>
        <w:jc w:val="center"/>
        <w:rPr>
          <w:rFonts w:hint="eastAsia" w:ascii="方正仿宋_GBK" w:hAnsi="方正仿宋_GBK" w:eastAsia="方正仿宋_GBK" w:cs="方正仿宋_GBK"/>
          <w:b w:val="0"/>
          <w:bCs/>
          <w:kern w:val="0"/>
          <w:sz w:val="32"/>
          <w:szCs w:val="32"/>
          <w:lang w:eastAsia="zh-CN"/>
        </w:rPr>
      </w:pPr>
      <w:r>
        <w:rPr>
          <w:rFonts w:hint="eastAsia" w:ascii="方正仿宋_GBK" w:hAnsi="方正仿宋_GBK" w:eastAsia="方正仿宋_GBK" w:cs="方正仿宋_GBK"/>
          <w:b w:val="0"/>
          <w:bCs/>
          <w:kern w:val="0"/>
          <w:sz w:val="32"/>
          <w:szCs w:val="32"/>
          <w:lang w:eastAsia="zh-CN"/>
        </w:rPr>
        <w:t>（征求意见稿）</w:t>
      </w:r>
    </w:p>
    <w:p>
      <w:pPr>
        <w:snapToGrid w:val="0"/>
        <w:jc w:val="center"/>
        <w:rPr>
          <w:rFonts w:hint="eastAsia" w:ascii="Times New Roman" w:hAnsi="Times New Roman" w:eastAsia="宋体" w:cs="Times New Roman"/>
          <w:b/>
          <w:kern w:val="0"/>
          <w:sz w:val="28"/>
          <w:szCs w:val="20"/>
        </w:rPr>
      </w:pPr>
    </w:p>
    <w:p>
      <w:pPr>
        <w:snapToGrid w:val="0"/>
        <w:jc w:val="center"/>
        <w:rPr>
          <w:rFonts w:hint="eastAsia" w:ascii="Times New Roman" w:hAnsi="Times New Roman" w:eastAsia="宋体" w:cs="Times New Roman"/>
          <w:b/>
          <w:kern w:val="0"/>
          <w:sz w:val="28"/>
          <w:szCs w:val="20"/>
        </w:rPr>
      </w:pPr>
    </w:p>
    <w:p>
      <w:pPr>
        <w:tabs>
          <w:tab w:val="left" w:pos="3150"/>
        </w:tabs>
        <w:snapToGrid w:val="0"/>
        <w:spacing w:line="600" w:lineRule="exact"/>
        <w:jc w:val="center"/>
        <w:rPr>
          <w:rFonts w:hint="eastAsia" w:ascii="Calibri" w:hAnsi="Times New Roman" w:eastAsia="方正黑体_GBK" w:cs="Times New Roman"/>
          <w:kern w:val="0"/>
          <w:sz w:val="34"/>
          <w:szCs w:val="34"/>
        </w:rPr>
      </w:pPr>
      <w:r>
        <w:rPr>
          <w:rFonts w:hint="eastAsia" w:ascii="Calibri" w:hAnsi="Times New Roman" w:eastAsia="方正黑体_GBK" w:cs="Times New Roman"/>
          <w:kern w:val="0"/>
          <w:sz w:val="34"/>
          <w:szCs w:val="34"/>
        </w:rPr>
        <w:t>编制单位：</w:t>
      </w:r>
      <w:r>
        <w:rPr>
          <w:rFonts w:hint="eastAsia" w:ascii="Calibri" w:hAnsi="Times New Roman" w:eastAsia="方正黑体_GBK" w:cs="Times New Roman"/>
          <w:kern w:val="0"/>
          <w:sz w:val="34"/>
          <w:szCs w:val="34"/>
          <w:lang w:eastAsia="zh-CN"/>
        </w:rPr>
        <w:t>石柱土家族自治县</w:t>
      </w:r>
      <w:r>
        <w:rPr>
          <w:rFonts w:hint="eastAsia" w:ascii="Times New Roman" w:hAnsi="Times New Roman" w:eastAsia="方正黑体_GBK" w:cs="Times New Roman"/>
          <w:kern w:val="0"/>
          <w:sz w:val="34"/>
          <w:szCs w:val="34"/>
        </w:rPr>
        <w:t>发展和改革委员会</w:t>
      </w:r>
    </w:p>
    <w:p>
      <w:pPr>
        <w:tabs>
          <w:tab w:val="left" w:pos="3150"/>
        </w:tabs>
        <w:snapToGrid w:val="0"/>
        <w:spacing w:line="600" w:lineRule="exact"/>
        <w:jc w:val="center"/>
        <w:rPr>
          <w:rFonts w:ascii="方正小标宋_GBK" w:hAnsi="方正小标宋_GBK" w:eastAsia="方正小标宋_GBK" w:cs="方正小标宋_GBK"/>
          <w:bCs/>
          <w:sz w:val="44"/>
          <w:szCs w:val="44"/>
        </w:rPr>
        <w:sectPr>
          <w:headerReference r:id="rId3" w:type="default"/>
          <w:footerReference r:id="rId4" w:type="default"/>
          <w:pgSz w:w="11906" w:h="16838"/>
          <w:pgMar w:top="1984" w:right="1531" w:bottom="1701" w:left="1531" w:header="851" w:footer="1474" w:gutter="0"/>
          <w:pgNumType w:fmt="numberInDash"/>
          <w:cols w:space="720" w:num="1"/>
          <w:titlePg/>
          <w:docGrid w:linePitch="435" w:charSpace="0"/>
        </w:sectPr>
      </w:pPr>
      <w:r>
        <w:rPr>
          <w:rFonts w:hint="eastAsia" w:ascii="Calibri" w:hAnsi="Times New Roman" w:eastAsia="方正黑体_GBK" w:cs="Times New Roman"/>
          <w:kern w:val="0"/>
          <w:sz w:val="34"/>
          <w:szCs w:val="34"/>
        </w:rPr>
        <w:t>编制日期：二○二</w:t>
      </w:r>
      <w:r>
        <w:rPr>
          <w:rFonts w:hint="eastAsia" w:ascii="Calibri" w:hAnsi="Times New Roman" w:eastAsia="方正黑体_GBK" w:cs="Times New Roman"/>
          <w:kern w:val="0"/>
          <w:sz w:val="34"/>
          <w:szCs w:val="34"/>
          <w:lang w:val="en-US" w:eastAsia="zh-CN"/>
        </w:rPr>
        <w:t>三</w:t>
      </w:r>
      <w:r>
        <w:rPr>
          <w:rFonts w:hint="eastAsia" w:ascii="Calibri" w:hAnsi="Times New Roman" w:eastAsia="方正黑体_GBK" w:cs="Times New Roman"/>
          <w:kern w:val="0"/>
          <w:sz w:val="34"/>
          <w:szCs w:val="34"/>
        </w:rPr>
        <w:t>年</w:t>
      </w:r>
      <w:r>
        <w:rPr>
          <w:rFonts w:hint="eastAsia" w:ascii="Calibri" w:hAnsi="Times New Roman" w:eastAsia="方正黑体_GBK" w:cs="Times New Roman"/>
          <w:kern w:val="0"/>
          <w:sz w:val="34"/>
          <w:szCs w:val="34"/>
          <w:lang w:val="en-US" w:eastAsia="zh-CN"/>
        </w:rPr>
        <w:t>二</w:t>
      </w:r>
      <w:r>
        <w:rPr>
          <w:rFonts w:hint="eastAsia" w:ascii="Calibri" w:hAnsi="Times New Roman" w:eastAsia="方正黑体_GBK" w:cs="Times New Roman"/>
          <w:kern w:val="0"/>
          <w:sz w:val="34"/>
          <w:szCs w:val="34"/>
        </w:rPr>
        <w:t>月</w:t>
      </w:r>
    </w:p>
    <w:p>
      <w:pPr>
        <w:pStyle w:val="9"/>
        <w:tabs>
          <w:tab w:val="right" w:leader="dot" w:pos="8844"/>
        </w:tabs>
        <w:rPr>
          <w:rFonts w:hint="eastAsia" w:ascii="宋体" w:hAnsi="宋体" w:eastAsia="宋体" w:cs="宋体"/>
          <w:kern w:val="0"/>
          <w:sz w:val="28"/>
          <w:szCs w:val="28"/>
        </w:rPr>
      </w:pPr>
      <w:r>
        <w:rPr>
          <w:rFonts w:hint="eastAsia" w:ascii="宋体" w:hAnsi="宋体" w:eastAsia="宋体" w:cs="宋体"/>
          <w:b w:val="0"/>
          <w:kern w:val="0"/>
          <w:sz w:val="28"/>
          <w:szCs w:val="28"/>
        </w:rPr>
        <w:fldChar w:fldCharType="begin"/>
      </w:r>
      <w:r>
        <w:rPr>
          <w:rFonts w:hint="eastAsia" w:ascii="宋体" w:hAnsi="宋体" w:eastAsia="宋体" w:cs="宋体"/>
          <w:b w:val="0"/>
          <w:kern w:val="0"/>
          <w:sz w:val="28"/>
          <w:szCs w:val="28"/>
        </w:rPr>
        <w:instrText xml:space="preserve"> TOC \o "1-2" \h \z \u </w:instrText>
      </w:r>
      <w:r>
        <w:rPr>
          <w:rFonts w:hint="eastAsia" w:ascii="宋体" w:hAnsi="宋体" w:eastAsia="宋体" w:cs="宋体"/>
          <w:b w:val="0"/>
          <w:kern w:val="0"/>
          <w:sz w:val="28"/>
          <w:szCs w:val="28"/>
        </w:rPr>
        <w:fldChar w:fldCharType="separate"/>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_Toc7300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 总则</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_Toc7300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_Toc16462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1.1 编制目的</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_Toc16462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_Toc11762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1.2 编制依据</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_Toc11762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_Toc32432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1.3 适用范围</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_Toc32432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_Toc4451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1.4 工作原则</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_Toc4451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_Toc5299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1.5 事故分级</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_Toc5299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3</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_Toc14838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1.6 应急预案体系</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_Toc14838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4</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9"/>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_Toc22595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 事故风险描述</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_Toc22595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4</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_Toc16393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2.1 油气管道基本情况</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_Toc16393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4</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_Toc14817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2.2 事故风险分析</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_Toc14817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5</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9"/>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_Toc3403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3 应急救援指挥机构与成员单位职责</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_Toc3403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7</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_Toc4844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3.1 应急救援组织指挥机构及职责</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_Toc4844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7</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_Toc31330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3.2 主要成员单位职责</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_Toc31330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10</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9"/>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_Toc13095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4 监测预警及信息报告</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_Toc13095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13</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_Toc29394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4.1 监测预警</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_Toc29394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13</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_Toc3983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4.2 预警级别</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_Toc3983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13</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_Toc6408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4.3 预警发布</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_Toc6408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14</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_Toc17598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4.4 预警调整和解除</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_Toc17598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15</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_Toc29611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4.5 信息报告</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_Toc29611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15</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9"/>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_Toc29028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5 应急响应</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_Toc29028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16</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_Toc13998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5.1 响应分级</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_Toc13998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16</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_Toc20900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5.2 应急救援</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_Toc20900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17</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_Toc3507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5.3 响应结束</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_Toc3507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19</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_Toc2655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5.4 信息发布</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_Toc2655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19</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9"/>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_Toc15038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6 后期处置</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_Toc15038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19</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_Toc19367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6.1 善后处理</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_Toc19367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19</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_Toc13131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6.2 事故调查</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_Toc13131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20</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_Toc27632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6.3 总结评估</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_Toc27632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20</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9"/>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_Toc30529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7 保障措施</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_Toc30529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20</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_Toc27072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7.1 通信及信息保障</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_Toc27072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20</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_Toc30812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7.2 队伍保障</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_Toc30812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20</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_Toc28653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7.3 物资装备保障</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_Toc28653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_Toc24064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7.4 交通保障</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_Toc24064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_Toc6307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7.5 技术保障</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_Toc6307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_Toc4248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7.6 经费保障</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_Toc4248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9"/>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_Toc19917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8 监督管理</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_Toc19917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22</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_Toc4328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8.1 宣传培训</w:t>
      </w:r>
      <w:r>
        <w:rPr>
          <w:rFonts w:hint="eastAsia" w:ascii="宋体" w:hAnsi="宋体" w:eastAsia="宋体" w:cs="宋体"/>
          <w:bCs w:val="0"/>
          <w:kern w:val="0"/>
          <w:sz w:val="28"/>
          <w:szCs w:val="28"/>
          <w:lang w:eastAsia="zh-CN"/>
        </w:rPr>
        <w:t>和演练</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_Toc4328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22</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_Toc22932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8.</w:t>
      </w:r>
      <w:r>
        <w:rPr>
          <w:rFonts w:hint="eastAsia" w:ascii="宋体" w:hAnsi="宋体" w:eastAsia="宋体" w:cs="宋体"/>
          <w:bCs w:val="0"/>
          <w:kern w:val="0"/>
          <w:sz w:val="28"/>
          <w:szCs w:val="28"/>
          <w:lang w:val="en-US" w:eastAsia="zh-CN"/>
        </w:rPr>
        <w:t>2</w:t>
      </w:r>
      <w:r>
        <w:rPr>
          <w:rFonts w:hint="eastAsia" w:ascii="宋体" w:hAnsi="宋体" w:eastAsia="宋体" w:cs="宋体"/>
          <w:bCs w:val="0"/>
          <w:kern w:val="0"/>
          <w:sz w:val="28"/>
          <w:szCs w:val="28"/>
        </w:rPr>
        <w:t xml:space="preserve"> 责任与奖惩</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_Toc22932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22</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_Toc770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8.</w:t>
      </w:r>
      <w:r>
        <w:rPr>
          <w:rFonts w:hint="eastAsia" w:ascii="宋体" w:hAnsi="宋体" w:eastAsia="宋体" w:cs="宋体"/>
          <w:bCs w:val="0"/>
          <w:kern w:val="0"/>
          <w:sz w:val="28"/>
          <w:szCs w:val="28"/>
          <w:lang w:val="en-US" w:eastAsia="zh-CN"/>
        </w:rPr>
        <w:t>3</w:t>
      </w:r>
      <w:r>
        <w:rPr>
          <w:rFonts w:hint="eastAsia" w:ascii="宋体" w:hAnsi="宋体" w:eastAsia="宋体" w:cs="宋体"/>
          <w:bCs w:val="0"/>
          <w:kern w:val="0"/>
          <w:sz w:val="28"/>
          <w:szCs w:val="28"/>
        </w:rPr>
        <w:t xml:space="preserve"> 预案修订时间</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_Toc770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22</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_Toc4118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8.5 预案管理</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_Toc4118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23</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_Toc20915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8.6 预案实施</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_Toc20915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23</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9"/>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_Toc892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9 附件</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_Toc892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24</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_Toc14000 </w:instrText>
      </w:r>
      <w:r>
        <w:rPr>
          <w:rFonts w:hint="eastAsia" w:ascii="宋体" w:hAnsi="宋体" w:eastAsia="宋体" w:cs="宋体"/>
          <w:kern w:val="0"/>
          <w:sz w:val="28"/>
          <w:szCs w:val="28"/>
        </w:rPr>
        <w:fldChar w:fldCharType="separate"/>
      </w:r>
      <w:r>
        <w:rPr>
          <w:rFonts w:hint="eastAsia" w:ascii="宋体" w:hAnsi="宋体" w:eastAsia="宋体" w:cs="宋体"/>
          <w:bCs w:val="0"/>
          <w:kern w:val="0"/>
          <w:sz w:val="28"/>
          <w:szCs w:val="28"/>
        </w:rPr>
        <w:t>9.1  石柱县油气长输管道基本情况表</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_Toc14000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24</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_Toc32280 </w:instrText>
      </w:r>
      <w:r>
        <w:rPr>
          <w:rFonts w:hint="eastAsia" w:ascii="宋体" w:hAnsi="宋体" w:eastAsia="宋体" w:cs="宋体"/>
          <w:kern w:val="0"/>
          <w:sz w:val="28"/>
          <w:szCs w:val="28"/>
        </w:rPr>
        <w:fldChar w:fldCharType="separate"/>
      </w:r>
      <w:r>
        <w:rPr>
          <w:rFonts w:hint="eastAsia" w:ascii="宋体" w:hAnsi="宋体" w:eastAsia="宋体" w:cs="宋体"/>
          <w:bCs/>
          <w:kern w:val="0"/>
          <w:sz w:val="28"/>
          <w:szCs w:val="28"/>
          <w:lang w:val="zh-CN"/>
        </w:rPr>
        <w:t>9.2  油气长输管道事故分析表</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_Toc32280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26</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_Toc5317 </w:instrText>
      </w:r>
      <w:r>
        <w:rPr>
          <w:rFonts w:hint="eastAsia" w:ascii="宋体" w:hAnsi="宋体" w:eastAsia="宋体" w:cs="宋体"/>
          <w:kern w:val="0"/>
          <w:sz w:val="28"/>
          <w:szCs w:val="28"/>
        </w:rPr>
        <w:fldChar w:fldCharType="separate"/>
      </w:r>
      <w:r>
        <w:rPr>
          <w:rFonts w:hint="eastAsia" w:ascii="宋体" w:hAnsi="宋体" w:eastAsia="宋体" w:cs="宋体"/>
          <w:bCs/>
          <w:kern w:val="0"/>
          <w:sz w:val="28"/>
          <w:szCs w:val="28"/>
          <w:lang w:val="zh-CN"/>
        </w:rPr>
        <w:t>9.3  应急救援指挥机构成员单位联系表</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_Toc5317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28</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_Toc6716 </w:instrText>
      </w:r>
      <w:r>
        <w:rPr>
          <w:rFonts w:hint="eastAsia" w:ascii="宋体" w:hAnsi="宋体" w:eastAsia="宋体" w:cs="宋体"/>
          <w:kern w:val="0"/>
          <w:sz w:val="28"/>
          <w:szCs w:val="28"/>
        </w:rPr>
        <w:fldChar w:fldCharType="separate"/>
      </w:r>
      <w:r>
        <w:rPr>
          <w:rFonts w:hint="eastAsia" w:ascii="宋体" w:hAnsi="宋体" w:eastAsia="宋体" w:cs="宋体"/>
          <w:bCs/>
          <w:kern w:val="0"/>
          <w:sz w:val="28"/>
          <w:szCs w:val="28"/>
          <w:lang w:val="zh-CN"/>
        </w:rPr>
        <w:t>9.</w:t>
      </w:r>
      <w:r>
        <w:rPr>
          <w:rFonts w:hint="eastAsia" w:ascii="宋体" w:hAnsi="宋体" w:eastAsia="宋体" w:cs="宋体"/>
          <w:bCs/>
          <w:kern w:val="0"/>
          <w:sz w:val="28"/>
          <w:szCs w:val="28"/>
          <w:lang w:val="en-US" w:eastAsia="zh-CN"/>
        </w:rPr>
        <w:t>5</w:t>
      </w:r>
      <w:r>
        <w:rPr>
          <w:rFonts w:hint="eastAsia" w:ascii="宋体" w:hAnsi="宋体" w:eastAsia="宋体" w:cs="宋体"/>
          <w:bCs/>
          <w:kern w:val="0"/>
          <w:sz w:val="28"/>
          <w:szCs w:val="28"/>
          <w:lang w:val="zh-CN"/>
        </w:rPr>
        <w:t xml:space="preserve">  石柱县油气长输管道安全政府通讯录</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_Toc6716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30</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_Toc15567 </w:instrText>
      </w:r>
      <w:r>
        <w:rPr>
          <w:rFonts w:hint="eastAsia" w:ascii="宋体" w:hAnsi="宋体" w:eastAsia="宋体" w:cs="宋体"/>
          <w:kern w:val="0"/>
          <w:sz w:val="28"/>
          <w:szCs w:val="28"/>
        </w:rPr>
        <w:fldChar w:fldCharType="separate"/>
      </w:r>
      <w:r>
        <w:rPr>
          <w:rFonts w:hint="eastAsia" w:ascii="宋体" w:hAnsi="宋体" w:eastAsia="宋体" w:cs="宋体"/>
          <w:bCs/>
          <w:kern w:val="0"/>
          <w:sz w:val="28"/>
          <w:szCs w:val="28"/>
          <w:lang w:val="zh-CN"/>
        </w:rPr>
        <w:t>9.</w:t>
      </w:r>
      <w:r>
        <w:rPr>
          <w:rFonts w:hint="eastAsia" w:ascii="宋体" w:hAnsi="宋体" w:eastAsia="宋体" w:cs="宋体"/>
          <w:bCs/>
          <w:kern w:val="0"/>
          <w:sz w:val="28"/>
          <w:szCs w:val="28"/>
          <w:lang w:val="en-US" w:eastAsia="zh-CN"/>
        </w:rPr>
        <w:t>6</w:t>
      </w:r>
      <w:r>
        <w:rPr>
          <w:rFonts w:hint="eastAsia" w:ascii="宋体" w:hAnsi="宋体" w:eastAsia="宋体" w:cs="宋体"/>
          <w:bCs/>
          <w:kern w:val="0"/>
          <w:sz w:val="28"/>
          <w:szCs w:val="28"/>
          <w:lang w:val="zh-CN"/>
        </w:rPr>
        <w:t xml:space="preserve">  石柱县油气长输管道安全企业通讯录</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_Toc15567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31</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_Toc19932 </w:instrText>
      </w:r>
      <w:r>
        <w:rPr>
          <w:rFonts w:hint="eastAsia" w:ascii="宋体" w:hAnsi="宋体" w:eastAsia="宋体" w:cs="宋体"/>
          <w:kern w:val="0"/>
          <w:sz w:val="28"/>
          <w:szCs w:val="28"/>
        </w:rPr>
        <w:fldChar w:fldCharType="separate"/>
      </w:r>
      <w:r>
        <w:rPr>
          <w:rFonts w:hint="eastAsia" w:ascii="宋体" w:hAnsi="宋体" w:eastAsia="宋体" w:cs="宋体"/>
          <w:bCs/>
          <w:kern w:val="0"/>
          <w:sz w:val="28"/>
          <w:szCs w:val="28"/>
          <w:lang w:val="zh-CN"/>
        </w:rPr>
        <w:t>9.</w:t>
      </w:r>
      <w:r>
        <w:rPr>
          <w:rFonts w:hint="eastAsia" w:ascii="宋体" w:hAnsi="宋体" w:eastAsia="宋体" w:cs="宋体"/>
          <w:bCs/>
          <w:kern w:val="0"/>
          <w:sz w:val="28"/>
          <w:szCs w:val="28"/>
          <w:lang w:val="en-US" w:eastAsia="zh-CN"/>
        </w:rPr>
        <w:t>7</w:t>
      </w:r>
      <w:r>
        <w:rPr>
          <w:rFonts w:hint="eastAsia" w:ascii="宋体" w:hAnsi="宋体" w:eastAsia="宋体" w:cs="宋体"/>
          <w:bCs/>
          <w:kern w:val="0"/>
          <w:sz w:val="28"/>
          <w:szCs w:val="28"/>
          <w:lang w:val="zh-CN"/>
        </w:rPr>
        <w:t xml:space="preserve">  依托技术专家库联系信息表</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_Toc19932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32</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10"/>
        <w:tabs>
          <w:tab w:val="right" w:leader="dot" w:pos="8844"/>
        </w:tabs>
        <w:rPr>
          <w:rFonts w:hint="eastAsia"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HYPERLINK \l _Toc15188 </w:instrText>
      </w:r>
      <w:r>
        <w:rPr>
          <w:rFonts w:hint="eastAsia" w:ascii="宋体" w:hAnsi="宋体" w:eastAsia="宋体" w:cs="宋体"/>
          <w:kern w:val="0"/>
          <w:sz w:val="28"/>
          <w:szCs w:val="28"/>
        </w:rPr>
        <w:fldChar w:fldCharType="separate"/>
      </w:r>
      <w:r>
        <w:rPr>
          <w:rFonts w:hint="eastAsia" w:ascii="宋体" w:hAnsi="宋体" w:eastAsia="宋体" w:cs="宋体"/>
          <w:bCs/>
          <w:kern w:val="0"/>
          <w:sz w:val="28"/>
          <w:szCs w:val="28"/>
          <w:lang w:val="zh-CN"/>
        </w:rPr>
        <w:t>9.</w:t>
      </w:r>
      <w:r>
        <w:rPr>
          <w:rFonts w:hint="eastAsia" w:ascii="宋体" w:hAnsi="宋体" w:eastAsia="宋体" w:cs="宋体"/>
          <w:bCs/>
          <w:kern w:val="0"/>
          <w:sz w:val="28"/>
          <w:szCs w:val="28"/>
          <w:lang w:val="en-US" w:eastAsia="zh-CN"/>
        </w:rPr>
        <w:t>8</w:t>
      </w:r>
      <w:r>
        <w:rPr>
          <w:rFonts w:hint="eastAsia" w:ascii="宋体" w:hAnsi="宋体" w:eastAsia="宋体" w:cs="宋体"/>
          <w:bCs/>
          <w:kern w:val="0"/>
          <w:sz w:val="28"/>
          <w:szCs w:val="28"/>
          <w:lang w:val="zh-CN"/>
        </w:rPr>
        <w:t xml:space="preserve"> 应急救援指挥部及各工作组职责图</w:t>
      </w:r>
      <w:r>
        <w:rPr>
          <w:rFonts w:hint="eastAsia" w:ascii="宋体" w:hAnsi="宋体" w:eastAsia="宋体" w:cs="宋体"/>
          <w:kern w:val="0"/>
          <w:sz w:val="28"/>
          <w:szCs w:val="28"/>
        </w:rPr>
        <w:tab/>
      </w: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PAGEREF _Toc15188 \h </w:instrText>
      </w:r>
      <w:r>
        <w:rPr>
          <w:rFonts w:hint="eastAsia" w:ascii="宋体" w:hAnsi="宋体" w:eastAsia="宋体" w:cs="宋体"/>
          <w:kern w:val="0"/>
          <w:sz w:val="28"/>
          <w:szCs w:val="28"/>
        </w:rPr>
        <w:fldChar w:fldCharType="separate"/>
      </w:r>
      <w:r>
        <w:rPr>
          <w:rFonts w:hint="eastAsia" w:ascii="宋体" w:hAnsi="宋体" w:eastAsia="宋体" w:cs="宋体"/>
          <w:kern w:val="0"/>
          <w:sz w:val="28"/>
          <w:szCs w:val="28"/>
        </w:rPr>
        <w:t>33</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fldChar w:fldCharType="end"/>
      </w:r>
    </w:p>
    <w:p>
      <w:pPr>
        <w:pStyle w:val="9"/>
        <w:tabs>
          <w:tab w:val="right" w:leader="dot" w:pos="8844"/>
        </w:tabs>
        <w:rPr>
          <w:rFonts w:hint="eastAsia" w:ascii="宋体" w:hAnsi="宋体" w:eastAsia="宋体" w:cs="宋体"/>
          <w:b w:val="0"/>
          <w:bCs/>
          <w:caps w:val="0"/>
          <w:smallCaps/>
          <w:kern w:val="0"/>
          <w:sz w:val="28"/>
          <w:szCs w:val="28"/>
          <w:lang w:val="zh-CN" w:eastAsia="zh-CN" w:bidi="ar-SA"/>
        </w:rPr>
      </w:pPr>
      <w:r>
        <w:rPr>
          <w:rFonts w:hint="eastAsia" w:ascii="宋体" w:hAnsi="宋体" w:eastAsia="宋体" w:cs="宋体"/>
          <w:b w:val="0"/>
          <w:bCs/>
          <w:caps w:val="0"/>
          <w:smallCaps/>
          <w:kern w:val="0"/>
          <w:sz w:val="28"/>
          <w:szCs w:val="28"/>
          <w:lang w:val="zh-CN" w:eastAsia="zh-CN" w:bidi="ar-SA"/>
        </w:rPr>
        <w:fldChar w:fldCharType="begin"/>
      </w:r>
      <w:r>
        <w:rPr>
          <w:rFonts w:hint="eastAsia" w:ascii="宋体" w:hAnsi="宋体" w:eastAsia="宋体" w:cs="宋体"/>
          <w:b w:val="0"/>
          <w:bCs/>
          <w:caps w:val="0"/>
          <w:smallCaps/>
          <w:kern w:val="0"/>
          <w:sz w:val="28"/>
          <w:szCs w:val="28"/>
          <w:lang w:val="zh-CN" w:eastAsia="zh-CN" w:bidi="ar-SA"/>
        </w:rPr>
        <w:instrText xml:space="preserve"> HYPERLINK \l _Toc12353 </w:instrText>
      </w:r>
      <w:r>
        <w:rPr>
          <w:rFonts w:hint="eastAsia" w:ascii="宋体" w:hAnsi="宋体" w:eastAsia="宋体" w:cs="宋体"/>
          <w:b w:val="0"/>
          <w:bCs/>
          <w:caps w:val="0"/>
          <w:smallCaps/>
          <w:kern w:val="0"/>
          <w:sz w:val="28"/>
          <w:szCs w:val="28"/>
          <w:lang w:val="zh-CN" w:eastAsia="zh-CN" w:bidi="ar-SA"/>
        </w:rPr>
        <w:fldChar w:fldCharType="separate"/>
      </w:r>
      <w:r>
        <w:rPr>
          <w:rFonts w:hint="eastAsia" w:ascii="宋体" w:hAnsi="宋体" w:eastAsia="宋体" w:cs="宋体"/>
          <w:b w:val="0"/>
          <w:bCs/>
          <w:caps w:val="0"/>
          <w:smallCaps/>
          <w:kern w:val="0"/>
          <w:sz w:val="28"/>
          <w:szCs w:val="28"/>
          <w:lang w:val="en-US" w:eastAsia="zh-CN" w:bidi="ar-SA"/>
        </w:rPr>
        <w:t xml:space="preserve">  9.9</w:t>
      </w:r>
      <w:r>
        <w:rPr>
          <w:rFonts w:hint="eastAsia" w:ascii="宋体" w:hAnsi="宋体" w:eastAsia="宋体" w:cs="宋体"/>
          <w:b w:val="0"/>
          <w:bCs/>
          <w:caps w:val="0"/>
          <w:smallCaps/>
          <w:kern w:val="0"/>
          <w:sz w:val="28"/>
          <w:szCs w:val="28"/>
          <w:lang w:val="zh-CN" w:eastAsia="zh-CN" w:bidi="ar-SA"/>
        </w:rPr>
        <w:t>现场处置方案</w:t>
      </w:r>
      <w:r>
        <w:rPr>
          <w:rFonts w:hint="eastAsia" w:ascii="宋体" w:hAnsi="宋体" w:eastAsia="宋体" w:cs="宋体"/>
          <w:b w:val="0"/>
          <w:bCs/>
          <w:caps w:val="0"/>
          <w:smallCaps/>
          <w:kern w:val="0"/>
          <w:sz w:val="28"/>
          <w:szCs w:val="28"/>
          <w:lang w:val="en-US" w:eastAsia="zh-CN" w:bidi="ar-SA"/>
        </w:rPr>
        <w:t>............................................</w:t>
      </w:r>
      <w:r>
        <w:rPr>
          <w:rFonts w:hint="eastAsia" w:ascii="宋体" w:hAnsi="宋体" w:eastAsia="宋体" w:cs="宋体"/>
          <w:b w:val="0"/>
          <w:bCs/>
          <w:caps w:val="0"/>
          <w:smallCaps/>
          <w:kern w:val="0"/>
          <w:sz w:val="28"/>
          <w:szCs w:val="28"/>
          <w:lang w:val="zh-CN" w:eastAsia="zh-CN" w:bidi="ar-SA"/>
        </w:rPr>
        <w:fldChar w:fldCharType="begin"/>
      </w:r>
      <w:r>
        <w:rPr>
          <w:rFonts w:hint="eastAsia" w:ascii="宋体" w:hAnsi="宋体" w:eastAsia="宋体" w:cs="宋体"/>
          <w:b w:val="0"/>
          <w:bCs/>
          <w:caps w:val="0"/>
          <w:smallCaps/>
          <w:kern w:val="0"/>
          <w:sz w:val="28"/>
          <w:szCs w:val="28"/>
          <w:lang w:val="zh-CN" w:eastAsia="zh-CN" w:bidi="ar-SA"/>
        </w:rPr>
        <w:instrText xml:space="preserve"> PAGEREF _Toc12353 \h </w:instrText>
      </w:r>
      <w:r>
        <w:rPr>
          <w:rFonts w:hint="eastAsia" w:ascii="宋体" w:hAnsi="宋体" w:eastAsia="宋体" w:cs="宋体"/>
          <w:b w:val="0"/>
          <w:bCs/>
          <w:caps w:val="0"/>
          <w:smallCaps/>
          <w:kern w:val="0"/>
          <w:sz w:val="28"/>
          <w:szCs w:val="28"/>
          <w:lang w:val="zh-CN" w:eastAsia="zh-CN" w:bidi="ar-SA"/>
        </w:rPr>
        <w:fldChar w:fldCharType="separate"/>
      </w:r>
      <w:r>
        <w:rPr>
          <w:rFonts w:hint="eastAsia" w:ascii="宋体" w:hAnsi="宋体" w:eastAsia="宋体" w:cs="宋体"/>
          <w:b w:val="0"/>
          <w:bCs/>
          <w:caps w:val="0"/>
          <w:smallCaps/>
          <w:kern w:val="0"/>
          <w:sz w:val="28"/>
          <w:szCs w:val="28"/>
          <w:lang w:val="zh-CN" w:eastAsia="zh-CN" w:bidi="ar-SA"/>
        </w:rPr>
        <w:t>34</w:t>
      </w:r>
      <w:r>
        <w:rPr>
          <w:rFonts w:hint="eastAsia" w:ascii="宋体" w:hAnsi="宋体" w:eastAsia="宋体" w:cs="宋体"/>
          <w:b w:val="0"/>
          <w:bCs/>
          <w:caps w:val="0"/>
          <w:smallCaps/>
          <w:kern w:val="0"/>
          <w:sz w:val="28"/>
          <w:szCs w:val="28"/>
          <w:lang w:val="zh-CN" w:eastAsia="zh-CN" w:bidi="ar-SA"/>
        </w:rPr>
        <w:fldChar w:fldCharType="end"/>
      </w:r>
      <w:r>
        <w:rPr>
          <w:rFonts w:hint="eastAsia" w:ascii="宋体" w:hAnsi="宋体" w:eastAsia="宋体" w:cs="宋体"/>
          <w:b w:val="0"/>
          <w:bCs/>
          <w:caps w:val="0"/>
          <w:smallCaps/>
          <w:kern w:val="0"/>
          <w:sz w:val="28"/>
          <w:szCs w:val="28"/>
          <w:lang w:val="zh-CN" w:eastAsia="zh-CN" w:bidi="ar-SA"/>
        </w:rPr>
        <w:fldChar w:fldCharType="end"/>
      </w:r>
    </w:p>
    <w:p>
      <w:pPr>
        <w:snapToGrid w:val="0"/>
        <w:spacing w:line="460" w:lineRule="exact"/>
        <w:rPr>
          <w:rFonts w:hint="eastAsia" w:ascii="宋体" w:hAnsi="宋体" w:eastAsia="宋体" w:cs="宋体"/>
          <w:kern w:val="0"/>
          <w:sz w:val="28"/>
          <w:szCs w:val="28"/>
        </w:rPr>
      </w:pPr>
      <w:r>
        <w:rPr>
          <w:rFonts w:hint="eastAsia" w:ascii="宋体" w:hAnsi="宋体" w:eastAsia="宋体" w:cs="宋体"/>
          <w:kern w:val="0"/>
          <w:sz w:val="28"/>
          <w:szCs w:val="28"/>
        </w:rPr>
        <w:fldChar w:fldCharType="end"/>
      </w:r>
    </w:p>
    <w:p>
      <w:pPr>
        <w:tabs>
          <w:tab w:val="right" w:leader="dot" w:pos="8834"/>
        </w:tabs>
        <w:snapToGrid w:val="0"/>
        <w:ind w:left="210"/>
        <w:jc w:val="left"/>
        <w:rPr>
          <w:rFonts w:hint="eastAsia" w:ascii="宋体" w:hAnsi="宋体" w:eastAsia="宋体" w:cs="宋体"/>
          <w:sz w:val="28"/>
          <w:szCs w:val="28"/>
        </w:rPr>
        <w:sectPr>
          <w:footerReference r:id="rId5" w:type="default"/>
          <w:pgSz w:w="11906" w:h="16838"/>
          <w:pgMar w:top="1984" w:right="1531" w:bottom="1701" w:left="1531" w:header="851" w:footer="1474" w:gutter="0"/>
          <w:pgNumType w:fmt="numberInDash" w:start="3"/>
          <w:cols w:space="720" w:num="1"/>
          <w:docGrid w:linePitch="435" w:charSpace="0"/>
        </w:sectPr>
      </w:pPr>
    </w:p>
    <w:p>
      <w:pPr>
        <w:keepNext/>
        <w:keepLines/>
        <w:snapToGrid w:val="0"/>
        <w:spacing w:line="600" w:lineRule="exact"/>
        <w:outlineLvl w:val="0"/>
        <w:rPr>
          <w:rFonts w:hint="eastAsia" w:ascii="方正黑体_GBK" w:hAnsi="方正黑体_GBK" w:eastAsia="方正黑体_GBK" w:cs="方正黑体_GBK"/>
          <w:kern w:val="0"/>
          <w:sz w:val="32"/>
          <w:szCs w:val="20"/>
        </w:rPr>
      </w:pPr>
      <w:bookmarkStart w:id="0" w:name="_Toc7300"/>
      <w:bookmarkStart w:id="1" w:name="_Toc28868135"/>
      <w:r>
        <w:rPr>
          <w:rFonts w:hint="eastAsia" w:ascii="方正黑体_GBK" w:hAnsi="方正黑体_GBK" w:eastAsia="方正黑体_GBK" w:cs="方正黑体_GBK"/>
          <w:kern w:val="0"/>
          <w:sz w:val="32"/>
          <w:szCs w:val="20"/>
        </w:rPr>
        <w:t>1 总则</w:t>
      </w:r>
      <w:bookmarkEnd w:id="0"/>
      <w:bookmarkEnd w:id="1"/>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2" w:name="_Toc28868136"/>
      <w:bookmarkStart w:id="3" w:name="_Toc16462"/>
      <w:r>
        <w:rPr>
          <w:rFonts w:hint="eastAsia" w:ascii="方正楷体_GBK" w:hAnsi="方正楷体_GBK" w:eastAsia="方正楷体_GBK" w:cs="方正楷体_GBK"/>
          <w:b w:val="0"/>
          <w:bCs w:val="0"/>
          <w:kern w:val="0"/>
        </w:rPr>
        <w:t>1.1 编制目的</w:t>
      </w:r>
      <w:bookmarkEnd w:id="2"/>
      <w:bookmarkEnd w:id="3"/>
    </w:p>
    <w:p>
      <w:pPr>
        <w:snapToGrid w:val="0"/>
        <w:spacing w:line="600" w:lineRule="exact"/>
        <w:ind w:firstLine="640" w:firstLineChars="200"/>
        <w:rPr>
          <w:rFonts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进一步</w:t>
      </w:r>
      <w:r>
        <w:rPr>
          <w:rFonts w:ascii="Times New Roman" w:hAnsi="Times New Roman" w:eastAsia="方正仿宋_GBK" w:cs="Times New Roman"/>
          <w:kern w:val="0"/>
          <w:sz w:val="32"/>
          <w:szCs w:val="20"/>
        </w:rPr>
        <w:t>提</w:t>
      </w:r>
      <w:r>
        <w:rPr>
          <w:rFonts w:hint="eastAsia" w:ascii="Times New Roman" w:hAnsi="Times New Roman" w:eastAsia="方正仿宋_GBK" w:cs="Times New Roman"/>
          <w:kern w:val="0"/>
          <w:sz w:val="32"/>
          <w:szCs w:val="20"/>
        </w:rPr>
        <w:t>升重庆市石柱县油气长输管道事故</w:t>
      </w:r>
      <w:r>
        <w:rPr>
          <w:rFonts w:ascii="Times New Roman" w:hAnsi="Times New Roman" w:eastAsia="方正仿宋_GBK" w:cs="Times New Roman"/>
          <w:kern w:val="0"/>
          <w:sz w:val="32"/>
          <w:szCs w:val="20"/>
        </w:rPr>
        <w:t>应急</w:t>
      </w:r>
      <w:r>
        <w:rPr>
          <w:rFonts w:hint="eastAsia" w:ascii="Times New Roman" w:hAnsi="Times New Roman" w:eastAsia="方正仿宋_GBK" w:cs="Times New Roman"/>
          <w:kern w:val="0"/>
          <w:sz w:val="32"/>
          <w:szCs w:val="20"/>
        </w:rPr>
        <w:t>反应和</w:t>
      </w:r>
      <w:r>
        <w:rPr>
          <w:rFonts w:ascii="Times New Roman" w:hAnsi="Times New Roman" w:eastAsia="方正仿宋_GBK" w:cs="Times New Roman"/>
          <w:kern w:val="0"/>
          <w:sz w:val="32"/>
          <w:szCs w:val="20"/>
        </w:rPr>
        <w:t>处置能力，</w:t>
      </w:r>
      <w:r>
        <w:rPr>
          <w:rFonts w:hint="eastAsia" w:ascii="Times New Roman" w:hAnsi="Times New Roman" w:eastAsia="方正仿宋_GBK" w:cs="Times New Roman"/>
          <w:kern w:val="0"/>
          <w:sz w:val="32"/>
          <w:szCs w:val="20"/>
        </w:rPr>
        <w:t>建立健全统一指挥、职责明确、运转有序、反应迅速、措施科学、处置有力的应急机制，最大限度地降低事故危害，保障国家能源安全和人民群众生命财产安全，促进经济社会持续健康发展。</w:t>
      </w:r>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4" w:name="_Toc28868137"/>
      <w:bookmarkStart w:id="5" w:name="_Toc11762"/>
      <w:r>
        <w:rPr>
          <w:rFonts w:hint="eastAsia" w:ascii="方正楷体_GBK" w:hAnsi="方正楷体_GBK" w:eastAsia="方正楷体_GBK" w:cs="方正楷体_GBK"/>
          <w:b w:val="0"/>
          <w:bCs w:val="0"/>
          <w:kern w:val="0"/>
        </w:rPr>
        <w:t>1.2 编制依据</w:t>
      </w:r>
      <w:bookmarkEnd w:id="4"/>
      <w:bookmarkEnd w:id="5"/>
    </w:p>
    <w:p>
      <w:pPr>
        <w:snapToGrid w:val="0"/>
        <w:spacing w:line="560" w:lineRule="exact"/>
        <w:ind w:firstLine="480" w:firstLineChars="150"/>
        <w:rPr>
          <w:rFonts w:ascii="方正仿宋_GBK" w:hAnsi="Times New Roman" w:eastAsia="方正仿宋_GBK" w:cs="Times New Roman"/>
          <w:snapToGrid w:val="0"/>
          <w:kern w:val="0"/>
          <w:sz w:val="32"/>
          <w:szCs w:val="32"/>
        </w:rPr>
      </w:pPr>
      <w:r>
        <w:rPr>
          <w:rFonts w:hint="eastAsia" w:ascii="方正仿宋_GBK" w:hAnsi="Times New Roman" w:eastAsia="方正仿宋_GBK" w:cs="Times New Roman"/>
          <w:snapToGrid w:val="0"/>
          <w:kern w:val="0"/>
          <w:sz w:val="32"/>
          <w:szCs w:val="32"/>
        </w:rPr>
        <w:t>依据《中华人民共和国突发事件应对法》《中华人民共和国安全生产法》《中华人民共和国环境保护法》《中华人民共和国石油天然气管道保护法》《危险化学品安全管理条例》《生产安全事故报告和调查处理条例》</w:t>
      </w:r>
      <w:r>
        <w:rPr>
          <w:rFonts w:hint="eastAsia" w:ascii="方正仿宋_GBK" w:hAnsi="Times New Roman" w:eastAsia="方正仿宋_GBK" w:cs="Times New Roman"/>
          <w:snapToGrid w:val="0"/>
          <w:kern w:val="0"/>
          <w:sz w:val="32"/>
          <w:szCs w:val="32"/>
          <w:lang w:eastAsia="zh-CN"/>
        </w:rPr>
        <w:t>《</w:t>
      </w:r>
      <w:r>
        <w:rPr>
          <w:rFonts w:hint="eastAsia" w:ascii="方正仿宋_GBK" w:hAnsi="Times New Roman" w:eastAsia="方正仿宋_GBK" w:cs="Times New Roman"/>
          <w:snapToGrid w:val="0"/>
          <w:kern w:val="0"/>
          <w:sz w:val="32"/>
          <w:szCs w:val="32"/>
        </w:rPr>
        <w:t>重庆市突发事件应对条例》《重庆市突发事件总体应急预案》《重庆市突发事件预警信息发布管理办法》及有关法律法规，制定本预案。</w:t>
      </w:r>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6" w:name="_Toc32432"/>
      <w:bookmarkStart w:id="7" w:name="_Toc28868138"/>
      <w:r>
        <w:rPr>
          <w:rFonts w:hint="eastAsia" w:ascii="方正楷体_GBK" w:hAnsi="方正楷体_GBK" w:eastAsia="方正楷体_GBK" w:cs="方正楷体_GBK"/>
          <w:b w:val="0"/>
          <w:bCs w:val="0"/>
          <w:kern w:val="0"/>
        </w:rPr>
        <w:t>1.3 适用范围</w:t>
      </w:r>
      <w:bookmarkEnd w:id="6"/>
      <w:bookmarkEnd w:id="7"/>
    </w:p>
    <w:p>
      <w:pPr>
        <w:snapToGrid w:val="0"/>
        <w:spacing w:line="600" w:lineRule="exact"/>
        <w:ind w:firstLine="480" w:firstLineChars="150"/>
        <w:rPr>
          <w:rFonts w:hint="eastAsia" w:ascii="Times New Roman" w:hAnsi="Times New Roman" w:eastAsia="方正仿宋_GBK" w:cs="Times New Roman"/>
          <w:kern w:val="0"/>
          <w:sz w:val="32"/>
          <w:szCs w:val="20"/>
        </w:rPr>
      </w:pPr>
      <w:r>
        <w:rPr>
          <w:rFonts w:ascii="Times New Roman" w:hAnsi="Times New Roman" w:eastAsia="方正仿宋_GBK" w:cs="Times New Roman"/>
          <w:kern w:val="0"/>
          <w:sz w:val="32"/>
          <w:szCs w:val="20"/>
        </w:rPr>
        <w:t>本预案适用于重庆市</w:t>
      </w:r>
      <w:r>
        <w:rPr>
          <w:rFonts w:hint="eastAsia" w:ascii="Times New Roman" w:hAnsi="Times New Roman" w:eastAsia="方正仿宋_GBK" w:cs="Times New Roman"/>
          <w:kern w:val="0"/>
          <w:sz w:val="32"/>
          <w:szCs w:val="20"/>
        </w:rPr>
        <w:t>石柱县</w:t>
      </w:r>
      <w:r>
        <w:rPr>
          <w:rFonts w:ascii="Times New Roman" w:hAnsi="Times New Roman" w:eastAsia="方正仿宋_GBK" w:cs="Times New Roman"/>
          <w:kern w:val="0"/>
          <w:sz w:val="32"/>
          <w:szCs w:val="20"/>
        </w:rPr>
        <w:t>行政区域内</w:t>
      </w:r>
      <w:r>
        <w:rPr>
          <w:rFonts w:hint="eastAsia" w:ascii="Times New Roman" w:hAnsi="Times New Roman" w:eastAsia="方正仿宋_GBK" w:cs="Times New Roman"/>
          <w:kern w:val="0"/>
          <w:sz w:val="32"/>
          <w:szCs w:val="20"/>
        </w:rPr>
        <w:t>，</w:t>
      </w:r>
      <w:r>
        <w:rPr>
          <w:rFonts w:ascii="Times New Roman" w:hAnsi="Times New Roman" w:eastAsia="方正仿宋_GBK" w:cs="Times New Roman"/>
          <w:kern w:val="0"/>
          <w:sz w:val="32"/>
          <w:szCs w:val="20"/>
        </w:rPr>
        <w:t>在</w:t>
      </w:r>
      <w:r>
        <w:rPr>
          <w:rFonts w:hint="eastAsia" w:ascii="Times New Roman" w:hAnsi="Times New Roman" w:eastAsia="方正仿宋_GBK" w:cs="Times New Roman"/>
          <w:kern w:val="0"/>
          <w:sz w:val="32"/>
          <w:szCs w:val="20"/>
        </w:rPr>
        <w:t>油气长输管道</w:t>
      </w:r>
      <w:r>
        <w:rPr>
          <w:rFonts w:ascii="Times New Roman" w:hAnsi="Times New Roman" w:eastAsia="方正仿宋_GBK" w:cs="Times New Roman"/>
          <w:kern w:val="0"/>
          <w:sz w:val="32"/>
          <w:szCs w:val="20"/>
        </w:rPr>
        <w:t>生产运行过程中发生的油气泄漏、火灾和爆炸</w:t>
      </w:r>
      <w:r>
        <w:rPr>
          <w:rFonts w:hint="eastAsia" w:ascii="Times New Roman" w:hAnsi="Times New Roman" w:eastAsia="方正仿宋_GBK" w:cs="Times New Roman"/>
          <w:kern w:val="0"/>
          <w:sz w:val="32"/>
          <w:szCs w:val="20"/>
        </w:rPr>
        <w:t>等</w:t>
      </w:r>
      <w:r>
        <w:rPr>
          <w:rFonts w:ascii="Times New Roman" w:hAnsi="Times New Roman" w:eastAsia="方正仿宋_GBK" w:cs="Times New Roman"/>
          <w:kern w:val="0"/>
          <w:sz w:val="32"/>
          <w:szCs w:val="20"/>
        </w:rPr>
        <w:t>事故的应</w:t>
      </w:r>
      <w:r>
        <w:rPr>
          <w:rFonts w:hint="eastAsia" w:ascii="Times New Roman" w:hAnsi="Times New Roman" w:eastAsia="方正仿宋_GBK" w:cs="Times New Roman"/>
          <w:kern w:val="0"/>
          <w:sz w:val="32"/>
          <w:szCs w:val="20"/>
        </w:rPr>
        <w:t>急处置</w:t>
      </w:r>
      <w:r>
        <w:rPr>
          <w:rFonts w:ascii="Times New Roman" w:hAnsi="Times New Roman" w:eastAsia="方正仿宋_GBK" w:cs="Times New Roman"/>
          <w:kern w:val="0"/>
          <w:sz w:val="32"/>
          <w:szCs w:val="20"/>
        </w:rPr>
        <w:t>工作。</w:t>
      </w:r>
      <w:r>
        <w:rPr>
          <w:rFonts w:hint="eastAsia" w:ascii="Times New Roman" w:hAnsi="Times New Roman" w:eastAsia="方正仿宋_GBK" w:cs="Times New Roman"/>
          <w:kern w:val="0"/>
          <w:sz w:val="32"/>
          <w:szCs w:val="20"/>
        </w:rPr>
        <w:t>城镇燃气管道、油气田集输管道和企业厂区内管道事故不适用本预案。</w:t>
      </w:r>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8" w:name="_Toc4451"/>
      <w:bookmarkStart w:id="9" w:name="_Toc28868139"/>
      <w:r>
        <w:rPr>
          <w:rFonts w:hint="eastAsia" w:ascii="方正楷体_GBK" w:hAnsi="方正楷体_GBK" w:eastAsia="方正楷体_GBK" w:cs="方正楷体_GBK"/>
          <w:b w:val="0"/>
          <w:bCs w:val="0"/>
          <w:kern w:val="0"/>
        </w:rPr>
        <w:t>1.4 工作原则</w:t>
      </w:r>
      <w:bookmarkEnd w:id="8"/>
      <w:bookmarkEnd w:id="9"/>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（1）以人为本，安全第一。</w:t>
      </w:r>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始终把保障人民群众的生命安全和身体健康放在首位，切实加强应急救援人员的安全防护，最大限度地减少事故灾难造成的人员伤亡和财产损失。</w:t>
      </w:r>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（2）统一领导，分级管理。</w:t>
      </w:r>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油气长输管道突发事件应急指挥部在县政府的统一领导下，负责指导、协调油气长输管道突发事件应急救援工作。各涉及油气长输管道的乡镇、有关部门和单位、管道企业按照各自职责和权限，具体负责应急管理和应急救援工作。</w:t>
      </w:r>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（3）“谁主管，谁负责”和“属地管理”原则。</w:t>
      </w:r>
    </w:p>
    <w:p>
      <w:pPr>
        <w:snapToGrid w:val="0"/>
        <w:spacing w:line="600" w:lineRule="exact"/>
        <w:ind w:firstLine="640" w:firstLineChars="200"/>
        <w:rPr>
          <w:rFonts w:hint="eastAsia" w:ascii="Times New Roman" w:hAnsi="Times New Roman" w:eastAsia="方正仿宋_GBK" w:cs="Times New Roman"/>
          <w:spacing w:val="4"/>
          <w:kern w:val="0"/>
          <w:sz w:val="32"/>
          <w:szCs w:val="20"/>
        </w:rPr>
      </w:pPr>
      <w:r>
        <w:rPr>
          <w:rFonts w:hint="eastAsia" w:ascii="Times New Roman" w:hAnsi="Times New Roman" w:eastAsia="方正仿宋_GBK" w:cs="Times New Roman"/>
          <w:kern w:val="0"/>
          <w:sz w:val="32"/>
          <w:szCs w:val="20"/>
        </w:rPr>
        <w:t>油气长输管道突发事件的管道权属企业是应急救援的责任主体和第一响应者。按照分级响应的原则，各涉及油气长输</w:t>
      </w:r>
      <w:r>
        <w:rPr>
          <w:rFonts w:hint="eastAsia" w:ascii="Times New Roman" w:hAnsi="Times New Roman" w:eastAsia="方正仿宋_GBK" w:cs="Times New Roman"/>
          <w:spacing w:val="4"/>
          <w:kern w:val="0"/>
          <w:sz w:val="32"/>
          <w:szCs w:val="20"/>
        </w:rPr>
        <w:t>管道的乡镇和管道权属企业应及时启动应急预案，实施应急救援。</w:t>
      </w:r>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（4）依靠科学，依法规范。</w:t>
      </w:r>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充分发挥专家的作用，实行科学民主决策。各涉及油气长输管道的乡镇、管道权属企业要依靠科技手段不断改进和完善应急救援的装备、设施和手段，依法规范应急救援工作，确保预案的科学性、权威性和可操作性。</w:t>
      </w:r>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（5）预防为主，平战结合。</w:t>
      </w:r>
    </w:p>
    <w:p>
      <w:pPr>
        <w:snapToGrid w:val="0"/>
        <w:spacing w:line="600" w:lineRule="exact"/>
        <w:ind w:firstLine="640" w:firstLineChars="200"/>
        <w:rPr>
          <w:rFonts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贯彻落实“安全第一，预防为主，综合治理”的方针，坚持事件应急与预防相结合。按照“长期准备、重点建设”的要求，做好应对本辖区油气长输管道突发事件的各项工作准备，各涉及油气长输管道的乡镇及管道权属企业救援队伍要加强培训演练，做到常备不懈。</w:t>
      </w:r>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10" w:name="_Toc28868140"/>
      <w:bookmarkStart w:id="11" w:name="_Toc5299"/>
      <w:r>
        <w:rPr>
          <w:rFonts w:hint="eastAsia" w:ascii="方正楷体_GBK" w:hAnsi="方正楷体_GBK" w:eastAsia="方正楷体_GBK" w:cs="方正楷体_GBK"/>
          <w:b w:val="0"/>
          <w:bCs w:val="0"/>
          <w:kern w:val="0"/>
        </w:rPr>
        <w:t>1.5 事故分级</w:t>
      </w:r>
      <w:bookmarkEnd w:id="10"/>
      <w:bookmarkEnd w:id="11"/>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本预案所称事故是指重庆市石柱县范围内油气长输管道突然发生的造成或者可能造成较大人员伤亡、财产损失、环境污染、严重影响石油天然气管道平稳运行和群众生活的事故。</w:t>
      </w:r>
    </w:p>
    <w:p>
      <w:pPr>
        <w:snapToGrid w:val="0"/>
        <w:spacing w:line="600" w:lineRule="exact"/>
        <w:ind w:firstLine="640" w:firstLineChars="200"/>
        <w:rPr>
          <w:rFonts w:hint="eastAsia" w:ascii="Times New Roman" w:hAnsi="Times New Roman" w:eastAsia="方正仿宋_GBK" w:cs="Times New Roman"/>
          <w:kern w:val="0"/>
          <w:sz w:val="32"/>
          <w:szCs w:val="20"/>
        </w:rPr>
      </w:pPr>
      <w:r>
        <w:rPr>
          <w:rFonts w:ascii="Times New Roman" w:hAnsi="Times New Roman" w:eastAsia="方正仿宋_GBK" w:cs="Times New Roman"/>
          <w:kern w:val="0"/>
          <w:sz w:val="32"/>
          <w:szCs w:val="20"/>
        </w:rPr>
        <w:t>按照社会危害程度、影响范围等因素，事故由高到低划分为特别重大事故（Ⅰ级）、重大事故（Ⅱ级）、较大事故（Ⅲ级）、一般事故（Ⅳ级）四个级别。</w:t>
      </w:r>
    </w:p>
    <w:p>
      <w:pPr>
        <w:pStyle w:val="5"/>
        <w:spacing w:before="120" w:after="0" w:line="600" w:lineRule="exact"/>
        <w:rPr>
          <w:rFonts w:ascii="Times New Roman" w:hAnsi="Times New Roman" w:eastAsia="方正仿宋_GBK" w:cs="Times New Roman"/>
          <w:b w:val="0"/>
          <w:bCs w:val="0"/>
          <w:kern w:val="0"/>
        </w:rPr>
      </w:pPr>
      <w:bookmarkStart w:id="12" w:name="_Toc28868184"/>
      <w:bookmarkStart w:id="13" w:name="_Toc421"/>
      <w:bookmarkStart w:id="14" w:name="_Toc28868141"/>
      <w:r>
        <w:rPr>
          <w:rFonts w:hint="eastAsia" w:ascii="Times New Roman" w:hAnsi="Times New Roman" w:eastAsia="方正仿宋_GBK" w:cs="Times New Roman"/>
          <w:b w:val="0"/>
          <w:bCs w:val="0"/>
          <w:kern w:val="0"/>
        </w:rPr>
        <w:t>1</w:t>
      </w:r>
      <w:r>
        <w:rPr>
          <w:rFonts w:ascii="Times New Roman" w:hAnsi="Times New Roman" w:eastAsia="方正仿宋_GBK" w:cs="Times New Roman"/>
          <w:b w:val="0"/>
          <w:bCs w:val="0"/>
          <w:kern w:val="0"/>
        </w:rPr>
        <w:t>.</w:t>
      </w:r>
      <w:r>
        <w:rPr>
          <w:rFonts w:hint="eastAsia" w:ascii="Times New Roman" w:hAnsi="Times New Roman" w:eastAsia="方正仿宋_GBK" w:cs="Times New Roman"/>
          <w:b w:val="0"/>
          <w:bCs w:val="0"/>
          <w:kern w:val="0"/>
        </w:rPr>
        <w:t>5</w:t>
      </w:r>
      <w:r>
        <w:rPr>
          <w:rFonts w:ascii="Times New Roman" w:hAnsi="Times New Roman" w:eastAsia="方正仿宋_GBK" w:cs="Times New Roman"/>
          <w:b w:val="0"/>
          <w:bCs w:val="0"/>
          <w:kern w:val="0"/>
        </w:rPr>
        <w:t>.</w:t>
      </w:r>
      <w:r>
        <w:rPr>
          <w:rFonts w:hint="eastAsia" w:ascii="Times New Roman" w:hAnsi="Times New Roman" w:eastAsia="方正仿宋_GBK" w:cs="Times New Roman"/>
          <w:b w:val="0"/>
          <w:bCs w:val="0"/>
          <w:kern w:val="0"/>
        </w:rPr>
        <w:t>1</w:t>
      </w:r>
      <w:r>
        <w:rPr>
          <w:rFonts w:ascii="Times New Roman" w:hAnsi="Times New Roman" w:eastAsia="方正仿宋_GBK" w:cs="Times New Roman"/>
          <w:b w:val="0"/>
          <w:bCs w:val="0"/>
          <w:kern w:val="0"/>
        </w:rPr>
        <w:t xml:space="preserve"> </w:t>
      </w:r>
      <w:r>
        <w:rPr>
          <w:rFonts w:hint="eastAsia" w:ascii="Times New Roman" w:hAnsi="Times New Roman" w:eastAsia="方正仿宋_GBK" w:cs="Times New Roman"/>
          <w:b w:val="0"/>
          <w:bCs w:val="0"/>
          <w:kern w:val="0"/>
        </w:rPr>
        <w:t>特别重大事故（Ⅰ级）</w:t>
      </w:r>
      <w:bookmarkEnd w:id="12"/>
      <w:bookmarkEnd w:id="13"/>
      <w:bookmarkEnd w:id="14"/>
    </w:p>
    <w:p>
      <w:pPr>
        <w:snapToGrid w:val="0"/>
        <w:spacing w:line="500" w:lineRule="exact"/>
        <w:ind w:firstLine="640" w:firstLineChars="200"/>
        <w:rPr>
          <w:rFonts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造成30人以上死亡，或者100人以上重伤，或者直接经济损失1亿元以上。</w:t>
      </w:r>
    </w:p>
    <w:p>
      <w:pPr>
        <w:pStyle w:val="5"/>
        <w:spacing w:after="0" w:line="640" w:lineRule="exact"/>
        <w:rPr>
          <w:rFonts w:ascii="Times New Roman" w:hAnsi="Times New Roman" w:eastAsia="方正仿宋_GBK" w:cs="Times New Roman"/>
          <w:b w:val="0"/>
          <w:bCs w:val="0"/>
          <w:kern w:val="0"/>
        </w:rPr>
      </w:pPr>
      <w:bookmarkStart w:id="15" w:name="_Toc28868185"/>
      <w:bookmarkStart w:id="16" w:name="_Toc28868142"/>
      <w:bookmarkStart w:id="17" w:name="_Toc27022"/>
      <w:r>
        <w:rPr>
          <w:rFonts w:hint="eastAsia" w:ascii="Times New Roman" w:hAnsi="Times New Roman" w:eastAsia="方正仿宋_GBK" w:cs="Times New Roman"/>
          <w:b w:val="0"/>
          <w:bCs w:val="0"/>
          <w:kern w:val="0"/>
        </w:rPr>
        <w:t>1</w:t>
      </w:r>
      <w:r>
        <w:rPr>
          <w:rFonts w:ascii="Times New Roman" w:hAnsi="Times New Roman" w:eastAsia="方正仿宋_GBK" w:cs="Times New Roman"/>
          <w:b w:val="0"/>
          <w:bCs w:val="0"/>
          <w:kern w:val="0"/>
        </w:rPr>
        <w:t>.</w:t>
      </w:r>
      <w:r>
        <w:rPr>
          <w:rFonts w:hint="eastAsia" w:ascii="Times New Roman" w:hAnsi="Times New Roman" w:eastAsia="方正仿宋_GBK" w:cs="Times New Roman"/>
          <w:b w:val="0"/>
          <w:bCs w:val="0"/>
          <w:kern w:val="0"/>
        </w:rPr>
        <w:t>5</w:t>
      </w:r>
      <w:r>
        <w:rPr>
          <w:rFonts w:ascii="Times New Roman" w:hAnsi="Times New Roman" w:eastAsia="方正仿宋_GBK" w:cs="Times New Roman"/>
          <w:b w:val="0"/>
          <w:bCs w:val="0"/>
          <w:kern w:val="0"/>
        </w:rPr>
        <w:t>.</w:t>
      </w:r>
      <w:r>
        <w:rPr>
          <w:rFonts w:hint="eastAsia" w:ascii="Times New Roman" w:hAnsi="Times New Roman" w:eastAsia="方正仿宋_GBK" w:cs="Times New Roman"/>
          <w:b w:val="0"/>
          <w:bCs w:val="0"/>
          <w:kern w:val="0"/>
        </w:rPr>
        <w:t>2</w:t>
      </w:r>
      <w:r>
        <w:rPr>
          <w:rFonts w:ascii="Times New Roman" w:hAnsi="Times New Roman" w:eastAsia="方正仿宋_GBK" w:cs="Times New Roman"/>
          <w:b w:val="0"/>
          <w:bCs w:val="0"/>
          <w:kern w:val="0"/>
        </w:rPr>
        <w:t xml:space="preserve"> </w:t>
      </w:r>
      <w:r>
        <w:rPr>
          <w:rFonts w:hint="eastAsia" w:ascii="Times New Roman" w:hAnsi="Times New Roman" w:eastAsia="方正仿宋_GBK" w:cs="Times New Roman"/>
          <w:b w:val="0"/>
          <w:bCs w:val="0"/>
          <w:kern w:val="0"/>
        </w:rPr>
        <w:t>重大事故（Ⅱ级）</w:t>
      </w:r>
      <w:bookmarkEnd w:id="15"/>
      <w:bookmarkEnd w:id="16"/>
      <w:bookmarkEnd w:id="17"/>
    </w:p>
    <w:p>
      <w:pPr>
        <w:snapToGrid w:val="0"/>
        <w:spacing w:line="56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造成10人以上30人以下死亡，或者50人以上100人以下重伤，或者直接经济损失5000万元以上1亿元以下。</w:t>
      </w:r>
    </w:p>
    <w:p>
      <w:pPr>
        <w:pStyle w:val="5"/>
        <w:spacing w:before="140" w:after="0" w:line="640" w:lineRule="exact"/>
        <w:rPr>
          <w:rFonts w:ascii="Times New Roman" w:hAnsi="Times New Roman" w:eastAsia="方正仿宋_GBK" w:cs="Times New Roman"/>
          <w:b w:val="0"/>
          <w:bCs w:val="0"/>
          <w:kern w:val="0"/>
        </w:rPr>
      </w:pPr>
      <w:bookmarkStart w:id="18" w:name="_Toc28868143"/>
      <w:bookmarkStart w:id="19" w:name="_Toc8402"/>
      <w:bookmarkStart w:id="20" w:name="_Toc28868186"/>
      <w:r>
        <w:rPr>
          <w:rFonts w:hint="eastAsia" w:ascii="Times New Roman" w:hAnsi="Times New Roman" w:eastAsia="方正仿宋_GBK" w:cs="Times New Roman"/>
          <w:b w:val="0"/>
          <w:bCs w:val="0"/>
          <w:kern w:val="0"/>
        </w:rPr>
        <w:t>1</w:t>
      </w:r>
      <w:r>
        <w:rPr>
          <w:rFonts w:ascii="Times New Roman" w:hAnsi="Times New Roman" w:eastAsia="方正仿宋_GBK" w:cs="Times New Roman"/>
          <w:b w:val="0"/>
          <w:bCs w:val="0"/>
          <w:kern w:val="0"/>
        </w:rPr>
        <w:t>.</w:t>
      </w:r>
      <w:r>
        <w:rPr>
          <w:rFonts w:hint="eastAsia" w:ascii="Times New Roman" w:hAnsi="Times New Roman" w:eastAsia="方正仿宋_GBK" w:cs="Times New Roman"/>
          <w:b w:val="0"/>
          <w:bCs w:val="0"/>
          <w:kern w:val="0"/>
        </w:rPr>
        <w:t>5</w:t>
      </w:r>
      <w:r>
        <w:rPr>
          <w:rFonts w:ascii="Times New Roman" w:hAnsi="Times New Roman" w:eastAsia="方正仿宋_GBK" w:cs="Times New Roman"/>
          <w:b w:val="0"/>
          <w:bCs w:val="0"/>
          <w:kern w:val="0"/>
        </w:rPr>
        <w:t>.</w:t>
      </w:r>
      <w:r>
        <w:rPr>
          <w:rFonts w:hint="eastAsia" w:ascii="Times New Roman" w:hAnsi="Times New Roman" w:eastAsia="方正仿宋_GBK" w:cs="Times New Roman"/>
          <w:b w:val="0"/>
          <w:bCs w:val="0"/>
          <w:kern w:val="0"/>
        </w:rPr>
        <w:t>3</w:t>
      </w:r>
      <w:r>
        <w:rPr>
          <w:rFonts w:ascii="Times New Roman" w:hAnsi="Times New Roman" w:eastAsia="方正仿宋_GBK" w:cs="Times New Roman"/>
          <w:b w:val="0"/>
          <w:bCs w:val="0"/>
          <w:kern w:val="0"/>
        </w:rPr>
        <w:t xml:space="preserve"> </w:t>
      </w:r>
      <w:r>
        <w:rPr>
          <w:rFonts w:hint="eastAsia" w:ascii="Times New Roman" w:hAnsi="Times New Roman" w:eastAsia="方正仿宋_GBK" w:cs="Times New Roman"/>
          <w:b w:val="0"/>
          <w:bCs w:val="0"/>
          <w:kern w:val="0"/>
        </w:rPr>
        <w:t>较大事故（Ⅲ级）</w:t>
      </w:r>
      <w:bookmarkEnd w:id="18"/>
      <w:bookmarkEnd w:id="19"/>
      <w:bookmarkEnd w:id="20"/>
    </w:p>
    <w:p>
      <w:pPr>
        <w:snapToGrid w:val="0"/>
        <w:spacing w:line="57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造成3人以上10人以下死亡，或者10人以上50人以下重伤，或者直接经济损失1000万元以上5000万元以下。</w:t>
      </w:r>
    </w:p>
    <w:p>
      <w:pPr>
        <w:pStyle w:val="5"/>
        <w:spacing w:before="140" w:after="0" w:line="640" w:lineRule="exact"/>
        <w:rPr>
          <w:rFonts w:ascii="Times New Roman" w:hAnsi="Times New Roman" w:eastAsia="方正仿宋_GBK" w:cs="Times New Roman"/>
          <w:b w:val="0"/>
          <w:bCs w:val="0"/>
          <w:kern w:val="0"/>
        </w:rPr>
      </w:pPr>
      <w:bookmarkStart w:id="21" w:name="_Toc12412"/>
      <w:bookmarkStart w:id="22" w:name="_Toc28868144"/>
      <w:bookmarkStart w:id="23" w:name="_Toc28868187"/>
      <w:r>
        <w:rPr>
          <w:rFonts w:hint="eastAsia" w:ascii="Times New Roman" w:hAnsi="Times New Roman" w:eastAsia="方正仿宋_GBK" w:cs="Times New Roman"/>
          <w:b w:val="0"/>
          <w:bCs w:val="0"/>
          <w:kern w:val="0"/>
        </w:rPr>
        <w:t>1</w:t>
      </w:r>
      <w:r>
        <w:rPr>
          <w:rFonts w:ascii="Times New Roman" w:hAnsi="Times New Roman" w:eastAsia="方正仿宋_GBK" w:cs="Times New Roman"/>
          <w:b w:val="0"/>
          <w:bCs w:val="0"/>
          <w:kern w:val="0"/>
        </w:rPr>
        <w:t>.</w:t>
      </w:r>
      <w:r>
        <w:rPr>
          <w:rFonts w:hint="eastAsia" w:ascii="Times New Roman" w:hAnsi="Times New Roman" w:eastAsia="方正仿宋_GBK" w:cs="Times New Roman"/>
          <w:b w:val="0"/>
          <w:bCs w:val="0"/>
          <w:kern w:val="0"/>
        </w:rPr>
        <w:t>5</w:t>
      </w:r>
      <w:r>
        <w:rPr>
          <w:rFonts w:ascii="Times New Roman" w:hAnsi="Times New Roman" w:eastAsia="方正仿宋_GBK" w:cs="Times New Roman"/>
          <w:b w:val="0"/>
          <w:bCs w:val="0"/>
          <w:kern w:val="0"/>
        </w:rPr>
        <w:t>.</w:t>
      </w:r>
      <w:r>
        <w:rPr>
          <w:rFonts w:hint="eastAsia" w:ascii="Times New Roman" w:hAnsi="Times New Roman" w:eastAsia="方正仿宋_GBK" w:cs="Times New Roman"/>
          <w:b w:val="0"/>
          <w:bCs w:val="0"/>
          <w:kern w:val="0"/>
        </w:rPr>
        <w:t>4</w:t>
      </w:r>
      <w:r>
        <w:rPr>
          <w:rFonts w:ascii="Times New Roman" w:hAnsi="Times New Roman" w:eastAsia="方正仿宋_GBK" w:cs="Times New Roman"/>
          <w:b w:val="0"/>
          <w:bCs w:val="0"/>
          <w:kern w:val="0"/>
        </w:rPr>
        <w:t xml:space="preserve"> </w:t>
      </w:r>
      <w:r>
        <w:rPr>
          <w:rFonts w:hint="eastAsia" w:ascii="Times New Roman" w:hAnsi="Times New Roman" w:eastAsia="方正仿宋_GBK" w:cs="Times New Roman"/>
          <w:b w:val="0"/>
          <w:bCs w:val="0"/>
          <w:kern w:val="0"/>
        </w:rPr>
        <w:t>一般事故（Ⅳ级）</w:t>
      </w:r>
      <w:bookmarkEnd w:id="21"/>
      <w:bookmarkEnd w:id="22"/>
      <w:bookmarkEnd w:id="23"/>
    </w:p>
    <w:p>
      <w:pPr>
        <w:snapToGrid w:val="0"/>
        <w:spacing w:line="57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造成3人以下死亡，或者10人以下重伤，或者直接经济损失1000万元以下。</w:t>
      </w:r>
    </w:p>
    <w:p>
      <w:pPr>
        <w:snapToGrid w:val="0"/>
        <w:spacing w:line="57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上述有关数量表述中，“以上”含本数，“以下”不含本数。</w:t>
      </w:r>
    </w:p>
    <w:p>
      <w:pPr>
        <w:pStyle w:val="4"/>
        <w:adjustRightInd w:val="0"/>
        <w:snapToGrid w:val="0"/>
        <w:spacing w:before="0" w:after="0" w:line="570" w:lineRule="exact"/>
        <w:rPr>
          <w:rFonts w:hint="eastAsia" w:ascii="方正楷体_GBK" w:hAnsi="方正楷体_GBK" w:eastAsia="方正楷体_GBK" w:cs="方正楷体_GBK"/>
          <w:b w:val="0"/>
          <w:bCs w:val="0"/>
          <w:kern w:val="0"/>
        </w:rPr>
      </w:pPr>
      <w:bookmarkStart w:id="24" w:name="_Toc14838"/>
      <w:bookmarkStart w:id="25" w:name="_Toc28868145"/>
      <w:r>
        <w:rPr>
          <w:rFonts w:hint="eastAsia" w:ascii="方正楷体_GBK" w:hAnsi="方正楷体_GBK" w:eastAsia="方正楷体_GBK" w:cs="方正楷体_GBK"/>
          <w:b w:val="0"/>
          <w:bCs w:val="0"/>
          <w:kern w:val="0"/>
        </w:rPr>
        <w:t>1.6 应急预案体系</w:t>
      </w:r>
      <w:bookmarkEnd w:id="24"/>
      <w:bookmarkEnd w:id="25"/>
    </w:p>
    <w:p>
      <w:pPr>
        <w:snapToGrid w:val="0"/>
        <w:spacing w:line="570" w:lineRule="exact"/>
        <w:ind w:firstLine="640" w:firstLineChars="200"/>
        <w:rPr>
          <w:rFonts w:hint="eastAsia" w:ascii="Times New Roman" w:hAnsi="Times New Roman" w:eastAsia="方正仿宋_GBK" w:cs="Times New Roman"/>
          <w:kern w:val="0"/>
          <w:sz w:val="32"/>
          <w:szCs w:val="20"/>
        </w:rPr>
      </w:pPr>
      <w:r>
        <w:rPr>
          <w:rFonts w:hint="eastAsia" w:ascii="Times New Roman" w:hAnsi="Times New Roman" w:eastAsia="方正仿宋_GBK" w:cs="Times New Roman"/>
          <w:kern w:val="0"/>
          <w:sz w:val="32"/>
          <w:szCs w:val="20"/>
        </w:rPr>
        <w:t>本预案应与《重庆市石柱县自然灾害和生产安全事故综合应急预案》相衔接。油气长输管道企业应制定应急预案和必要的现场处置方案，并主动与本预案相衔接。</w:t>
      </w:r>
    </w:p>
    <w:p>
      <w:pPr>
        <w:snapToGrid w:val="0"/>
        <w:spacing w:line="570" w:lineRule="exact"/>
        <w:ind w:firstLine="640" w:firstLineChars="200"/>
        <w:rPr>
          <w:rFonts w:ascii="Times New Roman" w:hAnsi="Times New Roman" w:eastAsia="方正仿宋_GBK" w:cs="Times New Roman"/>
          <w:color w:val="000000"/>
          <w:kern w:val="0"/>
          <w:sz w:val="32"/>
          <w:szCs w:val="20"/>
        </w:rPr>
      </w:pPr>
      <w:r>
        <w:rPr>
          <w:rFonts w:hint="eastAsia" w:ascii="Times New Roman" w:hAnsi="Times New Roman" w:eastAsia="方正仿宋_GBK" w:cs="Times New Roman"/>
          <w:color w:val="000000"/>
          <w:kern w:val="0"/>
          <w:sz w:val="32"/>
          <w:szCs w:val="20"/>
        </w:rPr>
        <w:t>预案体系见图1—1。</w:t>
      </w:r>
    </w:p>
    <w:p>
      <w:pPr>
        <w:widowControl/>
        <w:jc w:val="center"/>
        <w:rPr>
          <w:rFonts w:hint="eastAsia" w:ascii="宋体" w:hAnsi="宋体" w:eastAsia="宋体" w:cs="宋体"/>
          <w:kern w:val="0"/>
          <w:sz w:val="24"/>
          <w:szCs w:val="24"/>
          <w:lang w:eastAsia="zh-CN"/>
        </w:rPr>
      </w:pPr>
      <w:r>
        <w:rPr>
          <w:rFonts w:ascii="Times New Roman" w:hAnsi="Times New Roman" w:eastAsia="宋体" w:cs="Times New Roman"/>
          <w:kern w:val="0"/>
          <w:sz w:val="20"/>
          <w:szCs w:val="20"/>
        </w:rPr>
        <w:drawing>
          <wp:inline distT="0" distB="0" distL="114300" distR="114300">
            <wp:extent cx="5610225" cy="3151505"/>
            <wp:effectExtent l="0" t="0" r="9525" b="1079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2"/>
                    <a:stretch>
                      <a:fillRect/>
                    </a:stretch>
                  </pic:blipFill>
                  <pic:spPr>
                    <a:xfrm>
                      <a:off x="0" y="0"/>
                      <a:ext cx="5610225" cy="3151505"/>
                    </a:xfrm>
                    <a:prstGeom prst="rect">
                      <a:avLst/>
                    </a:prstGeom>
                    <a:noFill/>
                    <a:ln>
                      <a:noFill/>
                    </a:ln>
                  </pic:spPr>
                </pic:pic>
              </a:graphicData>
            </a:graphic>
          </wp:inline>
        </w:drawing>
      </w:r>
    </w:p>
    <w:p>
      <w:pPr>
        <w:snapToGrid w:val="0"/>
        <w:spacing w:before="360"/>
        <w:jc w:val="center"/>
        <w:rPr>
          <w:rFonts w:hint="eastAsia" w:ascii="方正楷体_GBK" w:hAnsi="方正楷体_GBK" w:eastAsia="方正楷体_GBK" w:cs="Times New Roman"/>
          <w:b/>
          <w:kern w:val="0"/>
          <w:sz w:val="32"/>
          <w:szCs w:val="32"/>
        </w:rPr>
      </w:pPr>
      <w:r>
        <w:rPr>
          <w:rFonts w:hint="eastAsia" w:ascii="方正楷体_GBK" w:hAnsi="方正楷体_GBK" w:eastAsia="方正楷体_GBK" w:cs="Times New Roman"/>
          <w:b/>
          <w:kern w:val="0"/>
          <w:sz w:val="32"/>
          <w:szCs w:val="32"/>
        </w:rPr>
        <w:t>图1—1 应急预案体系图</w:t>
      </w:r>
    </w:p>
    <w:p>
      <w:pPr>
        <w:keepNext/>
        <w:keepLines/>
        <w:snapToGrid w:val="0"/>
        <w:spacing w:line="560" w:lineRule="exact"/>
        <w:outlineLvl w:val="0"/>
        <w:rPr>
          <w:rFonts w:ascii="Times New Roman" w:hAnsi="Times New Roman" w:eastAsia="方正黑体_GBK" w:cs="Times New Roman"/>
          <w:kern w:val="0"/>
          <w:sz w:val="32"/>
          <w:szCs w:val="20"/>
        </w:rPr>
      </w:pPr>
      <w:bookmarkStart w:id="26" w:name="_Toc22595"/>
      <w:r>
        <w:rPr>
          <w:rFonts w:ascii="Times New Roman" w:hAnsi="Times New Roman" w:eastAsia="方正黑体_GBK" w:cs="Times New Roman"/>
          <w:kern w:val="0"/>
          <w:sz w:val="32"/>
          <w:szCs w:val="20"/>
        </w:rPr>
        <w:t xml:space="preserve">2 </w:t>
      </w:r>
      <w:r>
        <w:rPr>
          <w:rFonts w:hint="eastAsia" w:ascii="Times New Roman" w:hAnsi="Times New Roman" w:eastAsia="方正黑体_GBK" w:cs="Times New Roman"/>
          <w:kern w:val="0"/>
          <w:sz w:val="32"/>
          <w:szCs w:val="20"/>
        </w:rPr>
        <w:t>事故风险描述</w:t>
      </w:r>
      <w:bookmarkEnd w:id="26"/>
    </w:p>
    <w:p>
      <w:pPr>
        <w:pStyle w:val="4"/>
        <w:adjustRightInd w:val="0"/>
        <w:snapToGrid w:val="0"/>
        <w:spacing w:before="0" w:after="0" w:line="560" w:lineRule="exact"/>
        <w:rPr>
          <w:rFonts w:hint="eastAsia" w:ascii="方正楷体_GBK" w:hAnsi="方正楷体_GBK" w:eastAsia="方正楷体_GBK" w:cs="方正楷体_GBK"/>
          <w:b w:val="0"/>
          <w:bCs w:val="0"/>
          <w:kern w:val="0"/>
        </w:rPr>
      </w:pPr>
      <w:bookmarkStart w:id="27" w:name="_Toc28868146"/>
      <w:bookmarkStart w:id="28" w:name="_Toc16393"/>
      <w:r>
        <w:rPr>
          <w:rFonts w:hint="eastAsia" w:ascii="方正楷体_GBK" w:hAnsi="方正楷体_GBK" w:eastAsia="方正楷体_GBK" w:cs="方正楷体_GBK"/>
          <w:b w:val="0"/>
          <w:bCs w:val="0"/>
          <w:kern w:val="0"/>
        </w:rPr>
        <w:t>2.1 油气管道基本情况</w:t>
      </w:r>
      <w:bookmarkEnd w:id="27"/>
      <w:bookmarkEnd w:id="28"/>
    </w:p>
    <w:p>
      <w:pPr>
        <w:snapToGrid w:val="0"/>
        <w:spacing w:line="560" w:lineRule="exact"/>
        <w:ind w:firstLine="640" w:firstLineChars="200"/>
        <w:rPr>
          <w:rFonts w:hint="eastAsia" w:ascii="Times New Roman" w:hAnsi="Times New Roman" w:eastAsia="方正仿宋_GBK" w:cs="Times New Roman"/>
          <w:color w:val="0070C0"/>
          <w:kern w:val="0"/>
          <w:sz w:val="32"/>
          <w:szCs w:val="32"/>
        </w:rPr>
      </w:pPr>
      <w:r>
        <w:rPr>
          <w:rFonts w:hint="eastAsia" w:ascii="Times New Roman" w:hAnsi="Times New Roman" w:eastAsia="方正仿宋_GBK" w:cs="Times New Roman"/>
          <w:color w:val="000000"/>
          <w:kern w:val="0"/>
          <w:sz w:val="32"/>
          <w:szCs w:val="32"/>
        </w:rPr>
        <w:t>截至目前，石柱县行政区域内油气长输管道共有4条，总长度约153.28公里，涉及油气长输管道管理单位4家。石柱县长输油气管道基本情况见附表9.1。</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 国家管网集团川气东送天然气管道公司川气东送管线1条，石柱县行政区域内总长52.8公里。</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2. 国家管网集团重庆天然气管道有限责任公司页岩气管线1条，石柱县行政区域内总长20.18公里。</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 国家管网集团西气东输管道公司武汉输气分公司西气东输管线1条，石柱县行政区域内总长49.4公里。</w:t>
      </w:r>
    </w:p>
    <w:p>
      <w:pPr>
        <w:snapToGrid w:val="0"/>
        <w:spacing w:line="56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4. 重庆民生石柱</w:t>
      </w:r>
      <w:r>
        <w:rPr>
          <w:rFonts w:hint="eastAsia" w:ascii="Times New Roman" w:hAnsi="Times New Roman" w:eastAsia="方正仿宋_GBK" w:cs="Times New Roman"/>
          <w:kern w:val="0"/>
          <w:sz w:val="32"/>
          <w:szCs w:val="32"/>
          <w:lang w:val="en-US" w:eastAsia="zh-CN"/>
        </w:rPr>
        <w:t>天</w:t>
      </w:r>
      <w:r>
        <w:rPr>
          <w:rFonts w:hint="eastAsia" w:ascii="Times New Roman" w:hAnsi="Times New Roman" w:eastAsia="方正仿宋_GBK" w:cs="Times New Roman"/>
          <w:kern w:val="0"/>
          <w:sz w:val="32"/>
          <w:szCs w:val="32"/>
        </w:rPr>
        <w:t>然气有限公司天然气输气管道1条，石柱县行政区域内总长30.9公里。</w:t>
      </w:r>
    </w:p>
    <w:p>
      <w:pPr>
        <w:pStyle w:val="4"/>
        <w:adjustRightInd w:val="0"/>
        <w:snapToGrid w:val="0"/>
        <w:spacing w:before="0" w:after="0" w:line="560" w:lineRule="exact"/>
        <w:rPr>
          <w:rFonts w:hint="eastAsia" w:ascii="方正楷体_GBK" w:hAnsi="方正楷体_GBK" w:eastAsia="方正楷体_GBK" w:cs="方正楷体_GBK"/>
          <w:b w:val="0"/>
          <w:bCs w:val="0"/>
          <w:kern w:val="0"/>
        </w:rPr>
      </w:pPr>
      <w:bookmarkStart w:id="29" w:name="_Toc14817"/>
      <w:bookmarkStart w:id="30" w:name="_Toc28868147"/>
      <w:r>
        <w:rPr>
          <w:rFonts w:hint="eastAsia" w:ascii="方正楷体_GBK" w:hAnsi="方正楷体_GBK" w:eastAsia="方正楷体_GBK" w:cs="方正楷体_GBK"/>
          <w:b w:val="0"/>
          <w:bCs w:val="0"/>
          <w:kern w:val="0"/>
        </w:rPr>
        <w:t>2.2 事故风险分析</w:t>
      </w:r>
      <w:bookmarkEnd w:id="29"/>
      <w:bookmarkEnd w:id="30"/>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石柱县油气长输管道输送介质为天然气。油气长输管道由于其输送的介质天然气具有易燃易爆、高压、易扩散，以及输送工艺连续作业、点多线长、环境复杂等特点而具有较大的危险性。在油气管道输送过程中，可能发生的事故风险主要有以下几类。</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2.2.1 油气泄漏</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油气长输管道是一个密闭输送的过程，正常运行情况下油气不会泄漏。但因外部因素影响、设备质量缺陷或故障，以及人的不安全行为等原因，可能造成管道（包括阀门、法兰等附属设施）破损、泄漏，导致油气物料损失。</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造成油气泄漏的因素主要有：</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（1）地震或滑坡等自然灾害，引起油气站场内设备、设施及管道裂缝、断裂或严重变形。</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（2）在管道周围50m范围内进行爆破作业</w:t>
      </w:r>
      <w:r>
        <w:rPr>
          <w:rFonts w:hint="eastAsia" w:ascii="Times New Roman" w:hAnsi="Times New Roman" w:eastAsia="方正仿宋_GBK" w:cs="Times New Roman"/>
          <w:kern w:val="0"/>
          <w:sz w:val="32"/>
          <w:szCs w:val="32"/>
          <w:lang w:val="en-US" w:eastAsia="zh-CN"/>
        </w:rPr>
        <w:t>的</w:t>
      </w:r>
      <w:r>
        <w:rPr>
          <w:rFonts w:hint="eastAsia" w:ascii="Times New Roman" w:hAnsi="Times New Roman" w:eastAsia="方正仿宋_GBK" w:cs="Times New Roman"/>
          <w:kern w:val="0"/>
          <w:sz w:val="32"/>
          <w:szCs w:val="32"/>
        </w:rPr>
        <w:t>第三方施工破坏，如重型机械碾压管道、在管道5米范围内机械挖掘、管道周边高填方堆土等。</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（3）地面沉降，导致设备、设施及管道下部悬空或产生相应变形，严重时发生断裂。</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（4）超压运行。管网油气量过大；场站、阀室破管；检测系统、干线球阀或其他电动阀门的异常关闭；冬季节流设备设施冰堵等因素都会引起油气管道超压运行，可能导致管道超压爆炸。</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（5）设备设施、管道本体的原因。设备设施、管道在生产经营过程中发生腐蚀穿孔，导致油气泄漏。</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（6）人的不安全行为。人员在正常生产过程或各种作业过程中，违章指挥、违章操作。</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2.2.2 环境污染</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油气长输管道系统是由管道、增压站、分输站、阀门、仪表等设施组成，系统中材料质量、焊接和安装质量、机械设备、电气设施、仪器仪表性能的好坏，直接关系到系统运行的可靠性和安全性。油气长输管道存在环境污染的风险主要有：</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（1）天然气泄漏或未经点火对外排放，放空作业未点火或设备设施泄漏，会造成一定大气污染；</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（2）天然气放空作业产生的噪声对人体造成伤害，对环境造成噪声污染；同时，放空作业还会产生热辐射，对周围植物、农作物可能造成伤害，对环境造成光污染；</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（3）油气输送站场发电机、压缩机等运转时产生的噪声对人体造成伤害，对环境造成噪声污染。</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2.2.3 火灾爆炸</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若发生油气泄漏，遇明火或静电可能发生火灾；若泄漏的油气与空气混合后达到爆炸极限，此时若遇到超过最小点燃能量的点火源或静电可能引起爆炸。若发生火灾或爆炸事故，将造成多人伤亡和重大经济损失。</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油气泄漏是环境污染和火灾爆炸事故发生的前提，同时三者又是相互联系的。</w:t>
      </w:r>
    </w:p>
    <w:p>
      <w:pPr>
        <w:keepNext/>
        <w:keepLines/>
        <w:snapToGrid w:val="0"/>
        <w:spacing w:line="560" w:lineRule="exact"/>
        <w:outlineLvl w:val="0"/>
        <w:rPr>
          <w:rFonts w:ascii="Times New Roman" w:hAnsi="Times New Roman" w:eastAsia="方正黑体_GBK" w:cs="Times New Roman"/>
          <w:kern w:val="0"/>
          <w:sz w:val="32"/>
          <w:szCs w:val="20"/>
        </w:rPr>
      </w:pPr>
      <w:bookmarkStart w:id="31" w:name="_Toc28868148"/>
      <w:bookmarkStart w:id="32" w:name="_Toc3403"/>
      <w:r>
        <w:rPr>
          <w:rFonts w:hint="eastAsia" w:ascii="Times New Roman" w:hAnsi="Times New Roman" w:eastAsia="方正黑体_GBK" w:cs="Times New Roman"/>
          <w:kern w:val="0"/>
          <w:sz w:val="32"/>
          <w:szCs w:val="20"/>
        </w:rPr>
        <w:t>3</w:t>
      </w:r>
      <w:r>
        <w:rPr>
          <w:rFonts w:ascii="Times New Roman" w:hAnsi="Times New Roman" w:eastAsia="方正黑体_GBK" w:cs="Times New Roman"/>
          <w:kern w:val="0"/>
          <w:sz w:val="32"/>
          <w:szCs w:val="20"/>
        </w:rPr>
        <w:t xml:space="preserve"> </w:t>
      </w:r>
      <w:r>
        <w:rPr>
          <w:rFonts w:hint="eastAsia" w:ascii="Times New Roman" w:hAnsi="Times New Roman" w:eastAsia="方正黑体_GBK" w:cs="Times New Roman"/>
          <w:kern w:val="0"/>
          <w:sz w:val="32"/>
          <w:szCs w:val="20"/>
        </w:rPr>
        <w:t>应急救援指挥机构与成员单位职责</w:t>
      </w:r>
      <w:bookmarkEnd w:id="31"/>
      <w:bookmarkEnd w:id="32"/>
    </w:p>
    <w:p>
      <w:pPr>
        <w:pStyle w:val="4"/>
        <w:adjustRightInd w:val="0"/>
        <w:snapToGrid w:val="0"/>
        <w:spacing w:before="0" w:after="0" w:line="560" w:lineRule="exact"/>
        <w:rPr>
          <w:rFonts w:hint="eastAsia" w:ascii="方正楷体_GBK" w:hAnsi="方正楷体_GBK" w:eastAsia="方正楷体_GBK" w:cs="方正楷体_GBK"/>
          <w:b w:val="0"/>
          <w:bCs w:val="0"/>
          <w:kern w:val="0"/>
        </w:rPr>
      </w:pPr>
      <w:bookmarkStart w:id="33" w:name="_Toc4844"/>
      <w:bookmarkStart w:id="34" w:name="_Toc28868149"/>
      <w:r>
        <w:rPr>
          <w:rFonts w:hint="eastAsia" w:ascii="方正楷体_GBK" w:hAnsi="方正楷体_GBK" w:eastAsia="方正楷体_GBK" w:cs="方正楷体_GBK"/>
          <w:b w:val="0"/>
          <w:bCs w:val="0"/>
          <w:kern w:val="0"/>
        </w:rPr>
        <w:t>3.1 应急救援组织指挥机构及职责</w:t>
      </w:r>
      <w:bookmarkEnd w:id="33"/>
      <w:bookmarkEnd w:id="34"/>
    </w:p>
    <w:p>
      <w:pPr>
        <w:keepNext/>
        <w:keepLines/>
        <w:snapToGrid w:val="0"/>
        <w:spacing w:line="560" w:lineRule="exact"/>
        <w:ind w:firstLine="640" w:firstLineChars="200"/>
        <w:jc w:val="left"/>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在县政府的统一领导，成立重庆市石柱县油气长输管道事故应急救援指挥部（以下简称“县管道指挥部”）。</w:t>
      </w:r>
    </w:p>
    <w:p>
      <w:pPr>
        <w:snapToGrid w:val="0"/>
        <w:spacing w:line="560" w:lineRule="exact"/>
        <w:ind w:firstLine="616" w:firstLineChars="200"/>
        <w:rPr>
          <w:rFonts w:hint="eastAsia" w:ascii="Times New Roman" w:hAnsi="Times New Roman" w:eastAsia="方正仿宋_GBK" w:cs="Times New Roman"/>
          <w:spacing w:val="-6"/>
          <w:kern w:val="0"/>
          <w:sz w:val="32"/>
          <w:szCs w:val="32"/>
        </w:rPr>
      </w:pPr>
      <w:r>
        <w:rPr>
          <w:rFonts w:hint="eastAsia" w:ascii="Times New Roman" w:hAnsi="Times New Roman" w:eastAsia="方正仿宋_GBK" w:cs="Times New Roman"/>
          <w:spacing w:val="-6"/>
          <w:kern w:val="0"/>
          <w:sz w:val="32"/>
          <w:szCs w:val="32"/>
        </w:rPr>
        <w:t>县管道指挥部实行指挥长负责制，由县政府分管副县长任指挥长，开展全县油气长输管道事故应急管理和应对处置工作。县管道指挥部下设综合协调组、抢险救援组、医学救援组、秩序维护组、舆论引导组、应急保障组、善后工作组、事故调查组。并在县发展改革委常设县油气长输管道事故应急救援指挥部办公室，负责石柱县油气长输管道应急救援、保障处置的日常工作。</w:t>
      </w:r>
    </w:p>
    <w:p>
      <w:pPr>
        <w:keepNext/>
        <w:keepLines/>
        <w:overflowPunct w:val="0"/>
        <w:snapToGrid w:val="0"/>
        <w:spacing w:line="56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3.1</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1</w:t>
      </w:r>
      <w:r>
        <w:rPr>
          <w:rFonts w:ascii="Times New Roman" w:hAnsi="Times New Roman" w:eastAsia="方正仿宋_GBK" w:cs="Times New Roman"/>
          <w:kern w:val="0"/>
          <w:sz w:val="32"/>
          <w:szCs w:val="32"/>
        </w:rPr>
        <w:t xml:space="preserve"> </w:t>
      </w:r>
      <w:r>
        <w:rPr>
          <w:rFonts w:hint="eastAsia" w:ascii="Times New Roman" w:hAnsi="Times New Roman" w:eastAsia="方正仿宋_GBK" w:cs="Times New Roman"/>
          <w:kern w:val="0"/>
          <w:sz w:val="32"/>
          <w:szCs w:val="32"/>
        </w:rPr>
        <w:t>县管道指挥部组成及职责</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（1）指挥长：县政府分管副县长，负责发布应急响应命令，全面组织指挥全县油气长输管道事故应急救援工作。</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（2）副指挥长：县政府</w:t>
      </w:r>
      <w:r>
        <w:rPr>
          <w:rFonts w:hint="eastAsia" w:ascii="Times New Roman" w:hAnsi="Times New Roman" w:eastAsia="方正仿宋_GBK" w:cs="Times New Roman"/>
          <w:kern w:val="0"/>
          <w:sz w:val="32"/>
          <w:szCs w:val="32"/>
          <w:lang w:eastAsia="zh-CN"/>
        </w:rPr>
        <w:t>办公室</w:t>
      </w:r>
      <w:r>
        <w:rPr>
          <w:rFonts w:hint="eastAsia" w:ascii="Times New Roman" w:hAnsi="Times New Roman" w:eastAsia="方正仿宋_GBK" w:cs="Times New Roman"/>
          <w:kern w:val="0"/>
          <w:sz w:val="32"/>
          <w:szCs w:val="32"/>
        </w:rPr>
        <w:t>联系</w:t>
      </w:r>
      <w:r>
        <w:rPr>
          <w:rFonts w:hint="eastAsia" w:ascii="Times New Roman" w:hAnsi="Times New Roman" w:eastAsia="方正仿宋_GBK" w:cs="Times New Roman"/>
          <w:kern w:val="0"/>
          <w:sz w:val="32"/>
          <w:szCs w:val="32"/>
          <w:lang w:eastAsia="zh-CN"/>
        </w:rPr>
        <w:t>发展改革委的</w:t>
      </w:r>
      <w:r>
        <w:rPr>
          <w:rFonts w:hint="eastAsia" w:ascii="Times New Roman" w:hAnsi="Times New Roman" w:eastAsia="方正仿宋_GBK" w:cs="Times New Roman"/>
          <w:kern w:val="0"/>
          <w:sz w:val="32"/>
          <w:szCs w:val="32"/>
        </w:rPr>
        <w:t>副主任</w:t>
      </w:r>
      <w:r>
        <w:rPr>
          <w:rFonts w:hint="eastAsia" w:ascii="Times New Roman" w:hAnsi="Times New Roman" w:eastAsia="方正仿宋_GBK" w:cs="Times New Roman"/>
          <w:kern w:val="0"/>
          <w:sz w:val="32"/>
          <w:szCs w:val="32"/>
          <w:lang w:eastAsia="zh-CN"/>
        </w:rPr>
        <w:t>、</w:t>
      </w:r>
      <w:r>
        <w:rPr>
          <w:rFonts w:hint="eastAsia" w:ascii="Times New Roman" w:hAnsi="Times New Roman" w:eastAsia="方正仿宋_GBK" w:cs="Times New Roman"/>
          <w:kern w:val="0"/>
          <w:sz w:val="32"/>
          <w:szCs w:val="32"/>
        </w:rPr>
        <w:t>县发展改革委</w:t>
      </w:r>
      <w:r>
        <w:rPr>
          <w:rFonts w:hint="eastAsia" w:ascii="Times New Roman" w:hAnsi="Times New Roman" w:eastAsia="方正仿宋_GBK" w:cs="Times New Roman"/>
          <w:kern w:val="0"/>
          <w:sz w:val="32"/>
          <w:szCs w:val="32"/>
          <w:lang w:eastAsia="zh-CN"/>
        </w:rPr>
        <w:t>、</w:t>
      </w:r>
      <w:r>
        <w:rPr>
          <w:rFonts w:hint="eastAsia" w:ascii="Times New Roman" w:hAnsi="Times New Roman" w:eastAsia="方正仿宋_GBK" w:cs="Times New Roman"/>
          <w:kern w:val="0"/>
          <w:sz w:val="32"/>
          <w:szCs w:val="32"/>
        </w:rPr>
        <w:t>县应急管理局</w:t>
      </w:r>
      <w:r>
        <w:rPr>
          <w:rFonts w:hint="eastAsia" w:ascii="Times New Roman" w:hAnsi="Times New Roman" w:eastAsia="方正仿宋_GBK" w:cs="Times New Roman"/>
          <w:kern w:val="0"/>
          <w:sz w:val="32"/>
          <w:szCs w:val="32"/>
          <w:lang w:eastAsia="zh-CN"/>
        </w:rPr>
        <w:t>、县卫生健康委主要负责人、</w:t>
      </w:r>
      <w:r>
        <w:rPr>
          <w:rFonts w:hint="eastAsia" w:ascii="Times New Roman" w:hAnsi="Times New Roman" w:eastAsia="方正仿宋_GBK" w:cs="Times New Roman"/>
          <w:kern w:val="0"/>
          <w:sz w:val="32"/>
          <w:szCs w:val="32"/>
        </w:rPr>
        <w:t>县公安局</w:t>
      </w:r>
      <w:r>
        <w:rPr>
          <w:rFonts w:hint="eastAsia" w:ascii="Times New Roman" w:hAnsi="Times New Roman" w:eastAsia="方正仿宋_GBK" w:cs="Times New Roman"/>
          <w:kern w:val="0"/>
          <w:sz w:val="32"/>
          <w:szCs w:val="32"/>
          <w:lang w:eastAsia="zh-CN"/>
        </w:rPr>
        <w:t>常务</w:t>
      </w:r>
      <w:r>
        <w:rPr>
          <w:rFonts w:hint="eastAsia" w:ascii="Times New Roman" w:hAnsi="Times New Roman" w:eastAsia="方正仿宋_GBK" w:cs="Times New Roman"/>
          <w:kern w:val="0"/>
          <w:sz w:val="32"/>
          <w:szCs w:val="32"/>
        </w:rPr>
        <w:t>分管负责人</w:t>
      </w:r>
      <w:r>
        <w:rPr>
          <w:rFonts w:hint="eastAsia" w:ascii="Times New Roman" w:hAnsi="Times New Roman" w:eastAsia="方正仿宋_GBK" w:cs="Times New Roman"/>
          <w:kern w:val="0"/>
          <w:sz w:val="32"/>
          <w:szCs w:val="32"/>
          <w:lang w:eastAsia="zh-CN"/>
        </w:rPr>
        <w:t>、事发地乡镇人民政府主要负责人，</w:t>
      </w:r>
      <w:r>
        <w:rPr>
          <w:rFonts w:hint="eastAsia" w:ascii="Times New Roman" w:hAnsi="Times New Roman" w:eastAsia="方正仿宋_GBK" w:cs="Times New Roman"/>
          <w:kern w:val="0"/>
          <w:sz w:val="32"/>
          <w:szCs w:val="32"/>
        </w:rPr>
        <w:t>根据事故类型可增补有关单位主要负责人为副指挥长。</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成员：县发展改革委、县应急管理局、县财政局、县经济信息委、县交通局、县商务委、县公安局、县民政局、县人力社保局、县规划自然资源局、县生态环境局、县卫生健康委、县市场监管局、县总工会、县气象局、县</w:t>
      </w:r>
      <w:r>
        <w:rPr>
          <w:rFonts w:hint="eastAsia" w:ascii="Times New Roman" w:hAnsi="Times New Roman" w:eastAsia="方正仿宋_GBK" w:cs="Times New Roman"/>
          <w:kern w:val="0"/>
          <w:sz w:val="32"/>
          <w:szCs w:val="32"/>
          <w:lang w:eastAsia="zh-CN"/>
        </w:rPr>
        <w:t>政府新闻办</w:t>
      </w:r>
      <w:r>
        <w:rPr>
          <w:rFonts w:hint="eastAsia" w:ascii="Times New Roman" w:hAnsi="Times New Roman" w:eastAsia="方正仿宋_GBK" w:cs="Times New Roman"/>
          <w:kern w:val="0"/>
          <w:sz w:val="32"/>
          <w:szCs w:val="32"/>
        </w:rPr>
        <w:t>、县委网信办、县消防救援大队等</w:t>
      </w:r>
      <w:r>
        <w:rPr>
          <w:rFonts w:hint="eastAsia" w:ascii="Times New Roman" w:hAnsi="Times New Roman" w:eastAsia="方正仿宋_GBK" w:cs="Times New Roman"/>
          <w:kern w:val="0"/>
          <w:sz w:val="32"/>
          <w:szCs w:val="32"/>
          <w:lang w:eastAsia="zh-CN"/>
        </w:rPr>
        <w:t>部门</w:t>
      </w:r>
      <w:r>
        <w:rPr>
          <w:rFonts w:hint="eastAsia" w:ascii="Times New Roman" w:hAnsi="Times New Roman" w:eastAsia="方正仿宋_GBK" w:cs="Times New Roman"/>
          <w:kern w:val="0"/>
          <w:sz w:val="32"/>
          <w:szCs w:val="32"/>
        </w:rPr>
        <w:t>分管负责人，各涉及油气长输管道的乡镇人民政府分管负责人，各</w:t>
      </w:r>
      <w:r>
        <w:rPr>
          <w:rFonts w:hint="eastAsia" w:ascii="Times New Roman" w:hAnsi="Times New Roman" w:eastAsia="方正仿宋_GBK" w:cs="Times New Roman"/>
          <w:kern w:val="0"/>
          <w:sz w:val="32"/>
          <w:szCs w:val="32"/>
          <w:lang w:eastAsia="zh-CN"/>
        </w:rPr>
        <w:t>油气长输</w:t>
      </w:r>
      <w:r>
        <w:rPr>
          <w:rFonts w:hint="eastAsia" w:ascii="Times New Roman" w:hAnsi="Times New Roman" w:eastAsia="方正仿宋_GBK" w:cs="Times New Roman"/>
          <w:kern w:val="0"/>
          <w:sz w:val="32"/>
          <w:szCs w:val="32"/>
        </w:rPr>
        <w:t>管道企业主要负责人。</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4）县管道指挥部主要职责：召开指挥部会议，传达上级有关指示精神，听取各工作组情况汇报，研究部署处置过程中的重大事宜；向市应急救援指挥部和县政府汇报事故处置应对情况；组织调度有关队伍、专家、物资、装备；收集掌握涉及事故有关信息，综合分析事故预测预警信息，正确研判可能发生的事故以及紧急状态，评价其影响范围、程度，提出应对措施；按分级响应的规定，做好相关事故处置应急救援协调工作。</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3.1</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2 综合协调组职责</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履行信息汇总和综合协调职能，发挥信息枢纽作用；传达上级有关指示；协调调配有关应急资源；协调各工作组全力开展应急处置工作。</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牵头单位：县</w:t>
      </w:r>
      <w:r>
        <w:rPr>
          <w:rFonts w:hint="eastAsia" w:ascii="Times New Roman" w:hAnsi="Times New Roman" w:eastAsia="方正仿宋_GBK" w:cs="Times New Roman"/>
          <w:kern w:val="0"/>
          <w:sz w:val="32"/>
          <w:szCs w:val="32"/>
          <w:lang w:eastAsia="zh-CN"/>
        </w:rPr>
        <w:t>政府办公室</w:t>
      </w:r>
      <w:r>
        <w:rPr>
          <w:rFonts w:hint="eastAsia" w:ascii="Times New Roman" w:hAnsi="Times New Roman" w:eastAsia="方正仿宋_GBK" w:cs="Times New Roman"/>
          <w:kern w:val="0"/>
          <w:sz w:val="32"/>
          <w:szCs w:val="32"/>
        </w:rPr>
        <w:t>。参加单位：</w:t>
      </w:r>
      <w:r>
        <w:rPr>
          <w:rFonts w:hint="eastAsia" w:ascii="Times New Roman" w:hAnsi="Times New Roman" w:eastAsia="方正仿宋_GBK" w:cs="Times New Roman"/>
          <w:kern w:val="0"/>
          <w:sz w:val="32"/>
          <w:szCs w:val="32"/>
          <w:lang w:eastAsia="zh-CN"/>
        </w:rPr>
        <w:t>县发展改革委、</w:t>
      </w:r>
      <w:r>
        <w:rPr>
          <w:rFonts w:hint="eastAsia" w:ascii="Times New Roman" w:hAnsi="Times New Roman" w:eastAsia="方正仿宋_GBK" w:cs="Times New Roman"/>
          <w:kern w:val="0"/>
          <w:sz w:val="32"/>
          <w:szCs w:val="32"/>
        </w:rPr>
        <w:t>县应急管理局、事发地乡镇人民政府、发生事故的管道企业等相关单位。</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3.1</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3 抢险救援组职责</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负责牵头组织专业救援队伍实施救援，消除次生灾害隐患，清理现场等。</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牵头单位：县发展改革委。参加单位：县应急管理局、县公安局、县消防救援大队、县经济信息委、县生态环境局、县规划自然资源局、县市场监管局、县气象局、事发地乡镇人民政府、发生事故的管道企业等相关单位。</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3.1</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4 医学救援组职责</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组织开展伤病员医疗救治、心理援助；统计核实事故伤亡情况等。</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牵头单位：县卫生健康委。参加单位：有关医疗卫生机构、事发地乡镇人民政府、发生事故的管道企业等相关单位。</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3.1</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5 秩序维护组职责</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封锁、警戒、控制、保护事故现场及周边区域，维护现场治安；疏散转移现场和周边受威胁区域人员；开展交通管制，在现场外围开辟专用通道供应急救援车辆和人员通行。</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牵头单位：县公安局。参加单位：事发地乡镇人民政府等相关单位。</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3.1</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6 舆论引导组职责</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及时、准确、客观发布权威信息；汇总收集相关舆情；组织开展宣传报道；做好现场媒体记者的接待；做好舆论引导工作。</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牵头单位：县</w:t>
      </w:r>
      <w:r>
        <w:rPr>
          <w:rFonts w:hint="eastAsia" w:ascii="Times New Roman" w:hAnsi="Times New Roman" w:eastAsia="方正仿宋_GBK" w:cs="Times New Roman"/>
          <w:kern w:val="0"/>
          <w:sz w:val="32"/>
          <w:szCs w:val="32"/>
          <w:lang w:eastAsia="zh-CN"/>
        </w:rPr>
        <w:t>政府新闻办</w:t>
      </w:r>
      <w:r>
        <w:rPr>
          <w:rFonts w:hint="eastAsia" w:ascii="Times New Roman" w:hAnsi="Times New Roman" w:eastAsia="方正仿宋_GBK" w:cs="Times New Roman"/>
          <w:kern w:val="0"/>
          <w:sz w:val="32"/>
          <w:szCs w:val="32"/>
        </w:rPr>
        <w:t>。参加单位：县发展改革委、县应急管理局、县生态环境局、县公安局、县委网信办等相关单位。</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3.1</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7 应急保障组职责</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提供应急处置后勤服务；提供必要办公用品和交通、通信等工具；调集抢险救援所需装备、物资等；保障应急通信。</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牵头单位：事发地乡镇人民政府。参加单位：县财政局、县发展改革委、县应急管理局、县交通局、县商务委</w:t>
      </w:r>
      <w:r>
        <w:rPr>
          <w:rFonts w:hint="eastAsia" w:ascii="Times New Roman" w:hAnsi="Times New Roman" w:eastAsia="方正仿宋_GBK" w:cs="Times New Roman"/>
          <w:kern w:val="0"/>
          <w:sz w:val="32"/>
          <w:szCs w:val="32"/>
          <w:lang w:eastAsia="zh-CN"/>
        </w:rPr>
        <w:t>、县经济信息委、油气长输管道</w:t>
      </w:r>
      <w:r>
        <w:rPr>
          <w:rFonts w:hint="eastAsia" w:ascii="Times New Roman" w:hAnsi="Times New Roman" w:eastAsia="方正仿宋_GBK" w:cs="Times New Roman"/>
          <w:kern w:val="0"/>
          <w:sz w:val="32"/>
          <w:szCs w:val="32"/>
        </w:rPr>
        <w:t>等相关单位。</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3.1</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8 善后工作组职责</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开展伤亡人员及家属的安抚、补偿和保险理赔；做好事故死亡人员遗体火化；恢复正常的生产、生活秩序；事故现场污染物的清除以及生态破坏的恢复。</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牵头单位：事发地乡镇人民政府。参加单位：县民政局、县人力社保局、县生态环境局等相关单位。</w:t>
      </w:r>
    </w:p>
    <w:p>
      <w:pPr>
        <w:keepNext/>
        <w:keepLines/>
        <w:overflowPunct w:val="0"/>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3.1</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rPr>
        <w:t>9 事故调查组职责</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按规定组织开展较大和一般事故调查，认定事故责任，提出处理意见；配合市政府工作组开展重大事故调查。</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牵头单位：县应急管理局。参加单位：县发展改革委、县公安局、县总工会等相关单位。</w:t>
      </w:r>
    </w:p>
    <w:p>
      <w:pPr>
        <w:pStyle w:val="4"/>
        <w:adjustRightInd w:val="0"/>
        <w:snapToGrid w:val="0"/>
        <w:spacing w:before="0" w:after="0" w:line="560" w:lineRule="exact"/>
        <w:rPr>
          <w:rFonts w:hint="eastAsia" w:ascii="方正楷体_GBK" w:hAnsi="方正楷体_GBK" w:eastAsia="方正楷体_GBK" w:cs="方正楷体_GBK"/>
          <w:b w:val="0"/>
          <w:bCs w:val="0"/>
          <w:kern w:val="0"/>
        </w:rPr>
      </w:pPr>
      <w:bookmarkStart w:id="35" w:name="_Toc28868150"/>
      <w:bookmarkStart w:id="36" w:name="_Toc31330"/>
      <w:r>
        <w:rPr>
          <w:rFonts w:hint="eastAsia" w:ascii="方正楷体_GBK" w:hAnsi="方正楷体_GBK" w:eastAsia="方正楷体_GBK" w:cs="方正楷体_GBK"/>
          <w:b w:val="0"/>
          <w:bCs w:val="0"/>
          <w:kern w:val="0"/>
        </w:rPr>
        <w:t>3.2 主要成员单位职责</w:t>
      </w:r>
      <w:bookmarkEnd w:id="35"/>
      <w:bookmarkEnd w:id="36"/>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 xml:space="preserve">3.2.1 </w:t>
      </w:r>
      <w:r>
        <w:rPr>
          <w:rFonts w:hint="eastAsia" w:ascii="Times New Roman" w:hAnsi="Times New Roman" w:eastAsia="方正仿宋_GBK" w:cs="Times New Roman"/>
          <w:kern w:val="0"/>
          <w:sz w:val="32"/>
          <w:szCs w:val="32"/>
          <w:lang w:eastAsia="zh-CN"/>
        </w:rPr>
        <w:t>县政府办公室：</w:t>
      </w:r>
      <w:r>
        <w:rPr>
          <w:rFonts w:hint="eastAsia" w:ascii="Times New Roman" w:hAnsi="Times New Roman" w:eastAsia="方正仿宋_GBK" w:cs="Times New Roman"/>
          <w:kern w:val="0"/>
          <w:sz w:val="32"/>
          <w:szCs w:val="32"/>
        </w:rPr>
        <w:t>统筹协调</w:t>
      </w:r>
      <w:r>
        <w:rPr>
          <w:rFonts w:hint="eastAsia" w:ascii="Times New Roman" w:hAnsi="Times New Roman" w:eastAsia="方正仿宋_GBK" w:cs="Times New Roman"/>
          <w:kern w:val="0"/>
          <w:sz w:val="32"/>
          <w:szCs w:val="32"/>
          <w:lang w:eastAsia="zh-CN"/>
        </w:rPr>
        <w:t>油气长输管道</w:t>
      </w:r>
      <w:r>
        <w:rPr>
          <w:rFonts w:hint="eastAsia" w:ascii="Times New Roman" w:hAnsi="Times New Roman" w:eastAsia="方正仿宋_GBK" w:cs="Times New Roman"/>
          <w:kern w:val="0"/>
          <w:sz w:val="32"/>
          <w:szCs w:val="32"/>
        </w:rPr>
        <w:t>事故应急处置，传达县管道指挥部命令，及时向市政府办公厅报告事故处置进展情况。</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hint="eastAsia" w:ascii="Times New Roman" w:hAnsi="Times New Roman" w:eastAsia="方正仿宋_GBK" w:cs="Times New Roman"/>
          <w:kern w:val="0"/>
          <w:sz w:val="32"/>
          <w:szCs w:val="32"/>
          <w:lang w:val="en-US" w:eastAsia="zh-CN"/>
        </w:rPr>
        <w:t>2</w:t>
      </w:r>
      <w:r>
        <w:rPr>
          <w:rFonts w:hint="eastAsia" w:ascii="Times New Roman" w:hAnsi="Times New Roman" w:eastAsia="方正仿宋_GBK" w:cs="Times New Roman"/>
          <w:kern w:val="0"/>
          <w:sz w:val="32"/>
          <w:szCs w:val="32"/>
        </w:rPr>
        <w:t xml:space="preserve"> 县发展改革委：负责县管道指挥部办公室日常工作；负责牵头组织事故抢险救援；按照有关规定参与事故调查工作；组织专家组制定救援技术方案和措施；调集相关专业救援队伍、专业应急装备和器材参与救援。</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ascii="Times New Roman" w:hAnsi="Times New Roman" w:eastAsia="方正仿宋_GBK" w:cs="Times New Roman"/>
          <w:kern w:val="0"/>
          <w:sz w:val="32"/>
          <w:szCs w:val="32"/>
        </w:rPr>
        <w:t>.</w:t>
      </w:r>
      <w:r>
        <w:rPr>
          <w:rFonts w:hint="eastAsia" w:ascii="Times New Roman" w:hAnsi="Times New Roman" w:eastAsia="方正仿宋_GBK" w:cs="Times New Roman"/>
          <w:kern w:val="0"/>
          <w:sz w:val="32"/>
          <w:szCs w:val="32"/>
          <w:lang w:val="en-US" w:eastAsia="zh-CN"/>
        </w:rPr>
        <w:t>3</w:t>
      </w:r>
      <w:r>
        <w:rPr>
          <w:rFonts w:hint="eastAsia" w:ascii="Times New Roman" w:hAnsi="Times New Roman" w:eastAsia="方正仿宋_GBK" w:cs="Times New Roman"/>
          <w:kern w:val="0"/>
          <w:sz w:val="32"/>
          <w:szCs w:val="32"/>
        </w:rPr>
        <w:t xml:space="preserve"> 县应急管理局：发挥运转枢纽作用；负责协助县政府参与较大以上油气长输管道事故的应急处置工作；及时向市应急局报告事故处置进展情况，负责参与、协调应急救援工作；按照有关规定牵头组织事故调查工作。</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hint="eastAsia" w:ascii="Times New Roman" w:hAnsi="Times New Roman" w:eastAsia="方正仿宋_GBK" w:cs="Times New Roman"/>
          <w:kern w:val="0"/>
          <w:sz w:val="32"/>
          <w:szCs w:val="32"/>
          <w:lang w:val="en-US" w:eastAsia="zh-CN"/>
        </w:rPr>
        <w:t>4</w:t>
      </w:r>
      <w:r>
        <w:rPr>
          <w:rFonts w:hint="eastAsia" w:ascii="Times New Roman" w:hAnsi="Times New Roman" w:eastAsia="方正仿宋_GBK" w:cs="Times New Roman"/>
          <w:kern w:val="0"/>
          <w:sz w:val="32"/>
          <w:szCs w:val="32"/>
        </w:rPr>
        <w:t xml:space="preserve"> 县财政局：负责现场应急处置所需工作经费的保障。</w:t>
      </w:r>
    </w:p>
    <w:p>
      <w:pPr>
        <w:snapToGrid w:val="0"/>
        <w:spacing w:line="56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hint="eastAsia" w:ascii="Times New Roman" w:hAnsi="Times New Roman" w:eastAsia="方正仿宋_GBK" w:cs="Times New Roman"/>
          <w:kern w:val="0"/>
          <w:sz w:val="32"/>
          <w:szCs w:val="32"/>
          <w:lang w:val="en-US" w:eastAsia="zh-CN"/>
        </w:rPr>
        <w:t>5</w:t>
      </w:r>
      <w:r>
        <w:rPr>
          <w:rFonts w:hint="eastAsia" w:ascii="Times New Roman" w:hAnsi="Times New Roman" w:eastAsia="方正仿宋_GBK" w:cs="Times New Roman"/>
          <w:kern w:val="0"/>
          <w:sz w:val="32"/>
          <w:szCs w:val="32"/>
        </w:rPr>
        <w:t xml:space="preserve"> 县交通局：负责事故抢险救援的公路、水路应急运输保障工作。</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hint="eastAsia" w:ascii="Times New Roman" w:hAnsi="Times New Roman" w:eastAsia="方正仿宋_GBK" w:cs="Times New Roman"/>
          <w:kern w:val="0"/>
          <w:sz w:val="32"/>
          <w:szCs w:val="32"/>
          <w:lang w:val="en-US" w:eastAsia="zh-CN"/>
        </w:rPr>
        <w:t>6</w:t>
      </w:r>
      <w:r>
        <w:rPr>
          <w:rFonts w:hint="eastAsia" w:ascii="Times New Roman" w:hAnsi="Times New Roman" w:eastAsia="方正仿宋_GBK" w:cs="Times New Roman"/>
          <w:kern w:val="0"/>
          <w:sz w:val="32"/>
          <w:szCs w:val="32"/>
        </w:rPr>
        <w:t xml:space="preserve"> 县商务委：负责组织生活必需品等重要商品市场供应，维护市场稳定；保障油气长输管道事故应对工作所需生活物资。</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hint="eastAsia" w:ascii="Times New Roman" w:hAnsi="Times New Roman" w:eastAsia="方正仿宋_GBK" w:cs="Times New Roman"/>
          <w:kern w:val="0"/>
          <w:sz w:val="32"/>
          <w:szCs w:val="32"/>
          <w:lang w:val="en-US" w:eastAsia="zh-CN"/>
        </w:rPr>
        <w:t>7</w:t>
      </w:r>
      <w:r>
        <w:rPr>
          <w:rFonts w:hint="eastAsia" w:ascii="Times New Roman" w:hAnsi="Times New Roman" w:eastAsia="方正仿宋_GBK" w:cs="Times New Roman"/>
          <w:kern w:val="0"/>
          <w:sz w:val="32"/>
          <w:szCs w:val="32"/>
        </w:rPr>
        <w:t xml:space="preserve"> 县公安局：负责组织力量参与事故抢险救援工作；实施事故现场警戒，配合相关部门和事发地乡镇、事故责任单位开展人员疏散；实施事故现场区域周边道路的交通管制；对人员撤离区域进行治安管理；配合县委网信办监控网络舆情。</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hint="eastAsia" w:ascii="Times New Roman" w:hAnsi="Times New Roman" w:eastAsia="方正仿宋_GBK" w:cs="Times New Roman"/>
          <w:kern w:val="0"/>
          <w:sz w:val="32"/>
          <w:szCs w:val="32"/>
          <w:lang w:val="en-US" w:eastAsia="zh-CN"/>
        </w:rPr>
        <w:t>8</w:t>
      </w:r>
      <w:r>
        <w:rPr>
          <w:rFonts w:hint="eastAsia" w:ascii="Times New Roman" w:hAnsi="Times New Roman" w:eastAsia="方正仿宋_GBK" w:cs="Times New Roman"/>
          <w:kern w:val="0"/>
          <w:sz w:val="32"/>
          <w:szCs w:val="32"/>
        </w:rPr>
        <w:t xml:space="preserve"> 县民政局：负责政府救助，协助企业处置死亡人员丧葬等有关事宜，参与善后处理工作。</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hint="eastAsia" w:ascii="Times New Roman" w:hAnsi="Times New Roman" w:eastAsia="方正仿宋_GBK" w:cs="Times New Roman"/>
          <w:kern w:val="0"/>
          <w:sz w:val="32"/>
          <w:szCs w:val="32"/>
          <w:lang w:val="en-US" w:eastAsia="zh-CN"/>
        </w:rPr>
        <w:t>9</w:t>
      </w:r>
      <w:r>
        <w:rPr>
          <w:rFonts w:hint="eastAsia" w:ascii="Times New Roman" w:hAnsi="Times New Roman" w:eastAsia="方正仿宋_GBK" w:cs="Times New Roman"/>
          <w:kern w:val="0"/>
          <w:sz w:val="32"/>
          <w:szCs w:val="32"/>
        </w:rPr>
        <w:t xml:space="preserve"> 县人力社保局：负责工伤保险、医疗保险等有关事宜，参与善后处理工作。</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hint="eastAsia" w:ascii="Times New Roman" w:hAnsi="Times New Roman" w:eastAsia="方正仿宋_GBK" w:cs="Times New Roman"/>
          <w:kern w:val="0"/>
          <w:sz w:val="32"/>
          <w:szCs w:val="32"/>
          <w:lang w:val="en-US" w:eastAsia="zh-CN"/>
        </w:rPr>
        <w:t>10</w:t>
      </w:r>
      <w:r>
        <w:rPr>
          <w:rFonts w:hint="eastAsia" w:ascii="Times New Roman" w:hAnsi="Times New Roman" w:eastAsia="方正仿宋_GBK" w:cs="Times New Roman"/>
          <w:kern w:val="0"/>
          <w:sz w:val="32"/>
          <w:szCs w:val="32"/>
        </w:rPr>
        <w:t xml:space="preserve"> 县规划自然资源局：负责监测和预报全县地质灾害预警信息，分析并及时提供影响事故发生地域的地质灾害情况，供事故周边区域已有地理信息资料；利用无人机等技术装备快速采集、处理事故现场遥感影像、高清视频等信息，并及时提供给县</w:t>
      </w:r>
      <w:r>
        <w:rPr>
          <w:rFonts w:hint="eastAsia" w:ascii="Times New Roman" w:hAnsi="Times New Roman" w:eastAsia="方正仿宋_GBK" w:cs="Times New Roman"/>
          <w:kern w:val="0"/>
          <w:sz w:val="32"/>
          <w:szCs w:val="32"/>
          <w:lang w:eastAsia="zh-CN"/>
        </w:rPr>
        <w:t>管道</w:t>
      </w:r>
      <w:r>
        <w:rPr>
          <w:rFonts w:hint="eastAsia" w:ascii="Times New Roman" w:hAnsi="Times New Roman" w:eastAsia="方正仿宋_GBK" w:cs="Times New Roman"/>
          <w:kern w:val="0"/>
          <w:sz w:val="32"/>
          <w:szCs w:val="32"/>
        </w:rPr>
        <w:t>指挥部。</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3.2.1</w:t>
      </w:r>
      <w:r>
        <w:rPr>
          <w:rFonts w:hint="eastAsia" w:ascii="Times New Roman" w:hAnsi="Times New Roman" w:eastAsia="方正仿宋_GBK" w:cs="Times New Roman"/>
          <w:kern w:val="0"/>
          <w:sz w:val="32"/>
          <w:szCs w:val="32"/>
          <w:lang w:val="en-US" w:eastAsia="zh-CN"/>
        </w:rPr>
        <w:t>1</w:t>
      </w:r>
      <w:r>
        <w:rPr>
          <w:rFonts w:hint="eastAsia" w:ascii="Times New Roman" w:hAnsi="Times New Roman" w:eastAsia="方正仿宋_GBK" w:cs="Times New Roman"/>
          <w:kern w:val="0"/>
          <w:sz w:val="32"/>
          <w:szCs w:val="32"/>
        </w:rPr>
        <w:t xml:space="preserve"> 县生态环境局：负责事故现场及周边区域环境的应急监测，提出防止事态扩大和控制污染的要求或者建议，并对事故现场污染物的清除以及生态破坏的恢复工作予以指导。</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3.2.1</w:t>
      </w:r>
      <w:r>
        <w:rPr>
          <w:rFonts w:hint="eastAsia" w:ascii="Times New Roman" w:hAnsi="Times New Roman" w:eastAsia="方正仿宋_GBK" w:cs="Times New Roman"/>
          <w:kern w:val="0"/>
          <w:sz w:val="32"/>
          <w:szCs w:val="32"/>
          <w:lang w:val="en-US" w:eastAsia="zh-CN"/>
        </w:rPr>
        <w:t>2</w:t>
      </w:r>
      <w:r>
        <w:rPr>
          <w:rFonts w:hint="eastAsia" w:ascii="Times New Roman" w:hAnsi="Times New Roman" w:eastAsia="方正仿宋_GBK" w:cs="Times New Roman"/>
          <w:kern w:val="0"/>
          <w:sz w:val="32"/>
          <w:szCs w:val="32"/>
        </w:rPr>
        <w:t xml:space="preserve"> 县卫生健康委：负责在事故现场设置临时医疗急救区；对伤员进行紧急医疗处置，及时转运伤员到指定医院；核实事故伤亡情况。</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3.2.1</w:t>
      </w:r>
      <w:r>
        <w:rPr>
          <w:rFonts w:hint="eastAsia" w:ascii="Times New Roman" w:hAnsi="Times New Roman" w:eastAsia="方正仿宋_GBK" w:cs="Times New Roman"/>
          <w:kern w:val="0"/>
          <w:sz w:val="32"/>
          <w:szCs w:val="32"/>
          <w:lang w:val="en-US" w:eastAsia="zh-CN"/>
        </w:rPr>
        <w:t>3</w:t>
      </w:r>
      <w:r>
        <w:rPr>
          <w:rFonts w:hint="eastAsia" w:ascii="Times New Roman" w:hAnsi="Times New Roman" w:eastAsia="方正仿宋_GBK" w:cs="Times New Roman"/>
          <w:kern w:val="0"/>
          <w:sz w:val="32"/>
          <w:szCs w:val="32"/>
        </w:rPr>
        <w:t xml:space="preserve"> 县市场监管局：负责参与制定事故现场油气长输管道等特种设备的抢险救援方案；配合有关部门组织检验机构或专家组对事故有关的特种设备进行技术鉴定。</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3.2.1</w:t>
      </w:r>
      <w:r>
        <w:rPr>
          <w:rFonts w:hint="eastAsia" w:ascii="Times New Roman" w:hAnsi="Times New Roman" w:eastAsia="方正仿宋_GBK" w:cs="Times New Roman"/>
          <w:kern w:val="0"/>
          <w:sz w:val="32"/>
          <w:szCs w:val="32"/>
          <w:lang w:val="en-US" w:eastAsia="zh-CN"/>
        </w:rPr>
        <w:t>4</w:t>
      </w:r>
      <w:r>
        <w:rPr>
          <w:rFonts w:hint="eastAsia" w:ascii="Times New Roman" w:hAnsi="Times New Roman" w:eastAsia="方正仿宋_GBK" w:cs="Times New Roman"/>
          <w:kern w:val="0"/>
          <w:sz w:val="32"/>
          <w:szCs w:val="32"/>
        </w:rPr>
        <w:t xml:space="preserve"> 县总工会：负责指导企业做好事故善后处理工作，参与事故的调查处理工作。</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3.2.1</w:t>
      </w:r>
      <w:r>
        <w:rPr>
          <w:rFonts w:hint="eastAsia" w:ascii="Times New Roman" w:hAnsi="Times New Roman" w:eastAsia="方正仿宋_GBK" w:cs="Times New Roman"/>
          <w:kern w:val="0"/>
          <w:sz w:val="32"/>
          <w:szCs w:val="32"/>
          <w:lang w:val="en-US" w:eastAsia="zh-CN"/>
        </w:rPr>
        <w:t>5</w:t>
      </w:r>
      <w:r>
        <w:rPr>
          <w:rFonts w:hint="eastAsia" w:ascii="Times New Roman" w:hAnsi="Times New Roman" w:eastAsia="方正仿宋_GBK" w:cs="Times New Roman"/>
          <w:kern w:val="0"/>
          <w:sz w:val="32"/>
          <w:szCs w:val="32"/>
        </w:rPr>
        <w:t xml:space="preserve"> 县气象局：负责发布全县气象灾害预警信息；为事故现场抢险救援提供气象信息服务。</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3.2.1</w:t>
      </w:r>
      <w:r>
        <w:rPr>
          <w:rFonts w:hint="eastAsia" w:ascii="Times New Roman" w:hAnsi="Times New Roman" w:eastAsia="方正仿宋_GBK" w:cs="Times New Roman"/>
          <w:kern w:val="0"/>
          <w:sz w:val="32"/>
          <w:szCs w:val="32"/>
          <w:lang w:val="en-US" w:eastAsia="zh-CN"/>
        </w:rPr>
        <w:t>6</w:t>
      </w:r>
      <w:r>
        <w:rPr>
          <w:rFonts w:hint="eastAsia" w:ascii="Times New Roman" w:hAnsi="Times New Roman" w:eastAsia="方正仿宋_GBK" w:cs="Times New Roman"/>
          <w:kern w:val="0"/>
          <w:sz w:val="32"/>
          <w:szCs w:val="32"/>
        </w:rPr>
        <w:t xml:space="preserve"> 县</w:t>
      </w:r>
      <w:r>
        <w:rPr>
          <w:rFonts w:hint="eastAsia" w:ascii="Times New Roman" w:hAnsi="Times New Roman" w:eastAsia="方正仿宋_GBK" w:cs="Times New Roman"/>
          <w:kern w:val="0"/>
          <w:sz w:val="32"/>
          <w:szCs w:val="32"/>
          <w:lang w:eastAsia="zh-CN"/>
        </w:rPr>
        <w:t>政府新闻办</w:t>
      </w:r>
      <w:r>
        <w:rPr>
          <w:rFonts w:hint="eastAsia" w:ascii="Times New Roman" w:hAnsi="Times New Roman" w:eastAsia="方正仿宋_GBK" w:cs="Times New Roman"/>
          <w:kern w:val="0"/>
          <w:sz w:val="32"/>
          <w:szCs w:val="32"/>
        </w:rPr>
        <w:t>：负责统筹指导新闻通稿的起草，组织新闻发布会，正确引导舆论；做好现场新闻媒体接待和服务工作。</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3.2.1</w:t>
      </w:r>
      <w:r>
        <w:rPr>
          <w:rFonts w:hint="eastAsia" w:ascii="Times New Roman" w:hAnsi="Times New Roman" w:eastAsia="方正仿宋_GBK" w:cs="Times New Roman"/>
          <w:kern w:val="0"/>
          <w:sz w:val="32"/>
          <w:szCs w:val="32"/>
          <w:lang w:val="en-US" w:eastAsia="zh-CN"/>
        </w:rPr>
        <w:t>7</w:t>
      </w:r>
      <w:r>
        <w:rPr>
          <w:rFonts w:hint="eastAsia" w:ascii="Times New Roman" w:hAnsi="Times New Roman" w:eastAsia="方正仿宋_GBK" w:cs="Times New Roman"/>
          <w:kern w:val="0"/>
          <w:sz w:val="32"/>
          <w:szCs w:val="32"/>
        </w:rPr>
        <w:t xml:space="preserve"> 县委网信办：负责监测网络舆情，会同有关部门开展网络舆情引导，及时澄清网络谣言。</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3.2.1</w:t>
      </w:r>
      <w:r>
        <w:rPr>
          <w:rFonts w:hint="eastAsia" w:ascii="Times New Roman" w:hAnsi="Times New Roman" w:eastAsia="方正仿宋_GBK" w:cs="Times New Roman"/>
          <w:kern w:val="0"/>
          <w:sz w:val="32"/>
          <w:szCs w:val="32"/>
          <w:lang w:val="en-US" w:eastAsia="zh-CN"/>
        </w:rPr>
        <w:t>8</w:t>
      </w:r>
      <w:r>
        <w:rPr>
          <w:rFonts w:hint="eastAsia" w:ascii="Times New Roman" w:hAnsi="Times New Roman" w:eastAsia="方正仿宋_GBK" w:cs="Times New Roman"/>
          <w:kern w:val="0"/>
          <w:sz w:val="32"/>
          <w:szCs w:val="32"/>
        </w:rPr>
        <w:t>县消防救援大队：依托市级部门协调事故救援专家指导，负责实施事故现场的消防灭火工作；对事故被困人员进行救助；配合专业应急救援队进行器具堵漏、冷却抑爆、关阀断源等工作。</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3.2.1</w:t>
      </w:r>
      <w:r>
        <w:rPr>
          <w:rFonts w:hint="eastAsia" w:ascii="Times New Roman" w:hAnsi="Times New Roman" w:eastAsia="方正仿宋_GBK" w:cs="Times New Roman"/>
          <w:kern w:val="0"/>
          <w:sz w:val="32"/>
          <w:szCs w:val="32"/>
          <w:lang w:val="en-US" w:eastAsia="zh-CN"/>
        </w:rPr>
        <w:t>9</w:t>
      </w:r>
      <w:r>
        <w:rPr>
          <w:rFonts w:hint="eastAsia" w:ascii="Times New Roman" w:hAnsi="Times New Roman" w:eastAsia="方正仿宋_GBK" w:cs="Times New Roman"/>
          <w:kern w:val="0"/>
          <w:sz w:val="32"/>
          <w:szCs w:val="32"/>
        </w:rPr>
        <w:t xml:space="preserve"> 县经济信息委：负责事故应急救援期间的电力保障；协调发生事故油气长输管道涉及下游城镇燃气企业的联动和前期处置等工作。负责组织电信企业采取必要措施，确保事发区域通信畅通。</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w:t>
      </w:r>
      <w:r>
        <w:rPr>
          <w:rFonts w:hint="eastAsia" w:ascii="Times New Roman" w:hAnsi="Times New Roman" w:eastAsia="方正仿宋_GBK" w:cs="Times New Roman"/>
          <w:kern w:val="0"/>
          <w:sz w:val="32"/>
          <w:szCs w:val="32"/>
          <w:lang w:val="en-US" w:eastAsia="zh-CN"/>
        </w:rPr>
        <w:t>20</w:t>
      </w:r>
      <w:r>
        <w:rPr>
          <w:rFonts w:hint="eastAsia" w:ascii="Times New Roman" w:hAnsi="Times New Roman" w:eastAsia="方正仿宋_GBK" w:cs="Times New Roman"/>
          <w:kern w:val="0"/>
          <w:sz w:val="32"/>
          <w:szCs w:val="32"/>
        </w:rPr>
        <w:t xml:space="preserve"> 各涉及油气长输管道的乡镇：负责根据实际情况制订本区域油气长输管道安全事故应急响应行动预案，并按规定上报备案；组织或配合有关部门做好事故先期处置、应急抢险、人员疏散、交通管制、物资供应、伤亡统计、善后处理等相关工作。</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3.2.2</w:t>
      </w:r>
      <w:r>
        <w:rPr>
          <w:rFonts w:hint="eastAsia" w:ascii="Times New Roman" w:hAnsi="Times New Roman" w:eastAsia="方正仿宋_GBK" w:cs="Times New Roman"/>
          <w:kern w:val="0"/>
          <w:sz w:val="32"/>
          <w:szCs w:val="32"/>
          <w:lang w:val="en-US" w:eastAsia="zh-CN"/>
        </w:rPr>
        <w:t>1</w:t>
      </w:r>
      <w:r>
        <w:rPr>
          <w:rFonts w:hint="eastAsia" w:ascii="Times New Roman" w:hAnsi="Times New Roman" w:eastAsia="方正仿宋_GBK" w:cs="Times New Roman"/>
          <w:kern w:val="0"/>
          <w:sz w:val="32"/>
          <w:szCs w:val="32"/>
        </w:rPr>
        <w:t>管道企业：负责制定和修订本单位应急预案，并按规定报相关政府主管部门备案；在突发事故时立即启动应急响应，组织开展现场抢险救援工作并立即报告；按照响应分级，配合做好事故救援工作，提供应急救援相关资料。</w:t>
      </w:r>
    </w:p>
    <w:p>
      <w:pPr>
        <w:keepNext/>
        <w:keepLines/>
        <w:snapToGrid w:val="0"/>
        <w:spacing w:line="600" w:lineRule="exact"/>
        <w:outlineLvl w:val="0"/>
        <w:rPr>
          <w:rFonts w:ascii="Times New Roman" w:hAnsi="Times New Roman" w:eastAsia="方正黑体_GBK" w:cs="Times New Roman"/>
          <w:kern w:val="0"/>
          <w:sz w:val="32"/>
          <w:szCs w:val="20"/>
        </w:rPr>
      </w:pPr>
      <w:bookmarkStart w:id="37" w:name="_Toc13095"/>
      <w:r>
        <w:rPr>
          <w:rFonts w:ascii="Times New Roman" w:hAnsi="Times New Roman" w:eastAsia="方正黑体_GBK" w:cs="Times New Roman"/>
          <w:kern w:val="0"/>
          <w:sz w:val="32"/>
          <w:szCs w:val="20"/>
        </w:rPr>
        <w:t>4 监测预警及信息报告</w:t>
      </w:r>
      <w:bookmarkEnd w:id="37"/>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38" w:name="_Toc29394"/>
      <w:r>
        <w:rPr>
          <w:rFonts w:hint="eastAsia" w:ascii="方正楷体_GBK" w:hAnsi="方正楷体_GBK" w:eastAsia="方正楷体_GBK" w:cs="方正楷体_GBK"/>
          <w:b w:val="0"/>
          <w:bCs w:val="0"/>
          <w:kern w:val="0"/>
        </w:rPr>
        <w:t>4.1 监测预警</w:t>
      </w:r>
      <w:bookmarkEnd w:id="38"/>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各涉及油气长输管道的乡镇、有关部门和管道企业要建立健全事故监测预警机制，对油气长输管道进行监控和信息分析，对可能引发油气长输管道事故的气象及衍生灾害、地质灾害、违章施工、恐怖袭击等进行监控分析，并按规定及时上报县管道指挥部办公室。</w:t>
      </w:r>
    </w:p>
    <w:p>
      <w:pPr>
        <w:snapToGrid w:val="0"/>
        <w:spacing w:line="60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县管道指挥部办公室负责统一接收、处理、统计分析事故信息，对较大以上事故预警信息进行核实研判后及时上报县政府。</w:t>
      </w:r>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39" w:name="_Toc28868151"/>
      <w:bookmarkStart w:id="40" w:name="_Toc3983"/>
      <w:r>
        <w:rPr>
          <w:rFonts w:hint="eastAsia" w:ascii="方正楷体_GBK" w:hAnsi="方正楷体_GBK" w:eastAsia="方正楷体_GBK" w:cs="方正楷体_GBK"/>
          <w:b w:val="0"/>
          <w:bCs w:val="0"/>
          <w:kern w:val="0"/>
        </w:rPr>
        <w:t>4.2 预警级别</w:t>
      </w:r>
      <w:bookmarkEnd w:id="39"/>
      <w:bookmarkEnd w:id="40"/>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按照事故发生的紧急程度、发展势态和危害程度等因素，预警级别由低到高划分为Ⅳ级、Ⅲ级、Ⅱ级、Ⅰ级，依次采用蓝色、黄色、橙色和红色表示。</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Ⅳ级预警（蓝色）：预计发生一般（Ⅳ级）以上事故。事故即将来临，事态可能会扩大。</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Ⅲ级预警（黄色）：预计发生较大（Ⅲ级）以上事故。事故已经临近，事态有扩大的趋势。</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Ⅱ级预警（橙色）：预计发生重大（Ⅱ级）以上事故。事故即将发生，事态正在逐步扩大。</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Ⅰ级预警（红色）：预计发生特别重大（Ⅰ级）事故。事故会随时发生，事态正在趋于严重。</w:t>
      </w:r>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41" w:name="_Toc6408"/>
      <w:r>
        <w:rPr>
          <w:rFonts w:hint="eastAsia" w:ascii="方正楷体_GBK" w:hAnsi="方正楷体_GBK" w:eastAsia="方正楷体_GBK" w:cs="方正楷体_GBK"/>
          <w:b w:val="0"/>
          <w:bCs w:val="0"/>
          <w:kern w:val="0"/>
        </w:rPr>
        <w:t>4.3 预警发布</w:t>
      </w:r>
      <w:bookmarkEnd w:id="41"/>
    </w:p>
    <w:p>
      <w:pPr>
        <w:snapToGrid w:val="0"/>
        <w:spacing w:line="60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县管道指挥部</w:t>
      </w:r>
      <w:r>
        <w:rPr>
          <w:rFonts w:ascii="Times New Roman" w:hAnsi="Times New Roman" w:eastAsia="方正仿宋_GBK" w:cs="Times New Roman"/>
          <w:kern w:val="0"/>
          <w:sz w:val="32"/>
          <w:szCs w:val="32"/>
        </w:rPr>
        <w:t>和</w:t>
      </w:r>
      <w:r>
        <w:rPr>
          <w:rFonts w:hint="eastAsia" w:ascii="Times New Roman" w:hAnsi="Times New Roman" w:eastAsia="方正仿宋_GBK" w:cs="Times New Roman"/>
          <w:kern w:val="0"/>
          <w:sz w:val="32"/>
          <w:szCs w:val="32"/>
        </w:rPr>
        <w:t>油气长输管道</w:t>
      </w:r>
      <w:r>
        <w:rPr>
          <w:rFonts w:ascii="Times New Roman" w:hAnsi="Times New Roman" w:eastAsia="方正仿宋_GBK" w:cs="Times New Roman"/>
          <w:kern w:val="0"/>
          <w:sz w:val="32"/>
          <w:szCs w:val="32"/>
        </w:rPr>
        <w:t>企业经监测、预测和会商认定将出现达到预警级别标准时，应立即按照《重庆市突发事件预警信息发布管理办法》（渝府发〔2011〕31号）的有关规定组织发布预警信息，同时报告</w:t>
      </w:r>
      <w:r>
        <w:rPr>
          <w:rFonts w:hint="eastAsia" w:ascii="Times New Roman" w:hAnsi="Times New Roman" w:eastAsia="方正仿宋_GBK" w:cs="Times New Roman"/>
          <w:kern w:val="0"/>
          <w:sz w:val="32"/>
          <w:szCs w:val="32"/>
        </w:rPr>
        <w:t>县政府</w:t>
      </w:r>
      <w:r>
        <w:rPr>
          <w:rFonts w:ascii="Times New Roman" w:hAnsi="Times New Roman" w:eastAsia="方正仿宋_GBK" w:cs="Times New Roman"/>
          <w:kern w:val="0"/>
          <w:sz w:val="32"/>
          <w:szCs w:val="32"/>
        </w:rPr>
        <w:t>。</w:t>
      </w:r>
    </w:p>
    <w:p>
      <w:pPr>
        <w:snapToGrid w:val="0"/>
        <w:spacing w:line="600" w:lineRule="exact"/>
        <w:ind w:firstLine="608" w:firstLineChars="200"/>
        <w:rPr>
          <w:rFonts w:ascii="Times New Roman" w:hAnsi="Times New Roman" w:eastAsia="方正仿宋_GBK" w:cs="Times New Roman"/>
          <w:spacing w:val="-8"/>
          <w:kern w:val="0"/>
          <w:sz w:val="32"/>
          <w:szCs w:val="32"/>
        </w:rPr>
      </w:pPr>
      <w:r>
        <w:rPr>
          <w:rFonts w:ascii="Times New Roman" w:hAnsi="Times New Roman" w:eastAsia="方正仿宋_GBK" w:cs="Times New Roman"/>
          <w:spacing w:val="-8"/>
          <w:kern w:val="0"/>
          <w:sz w:val="32"/>
          <w:szCs w:val="32"/>
        </w:rPr>
        <w:t>（1）发布权限。Ⅲ级、Ⅳ级预警信息</w:t>
      </w:r>
      <w:r>
        <w:rPr>
          <w:rFonts w:hint="eastAsia" w:ascii="Times New Roman" w:hAnsi="Times New Roman" w:eastAsia="方正仿宋_GBK" w:cs="Times New Roman"/>
          <w:spacing w:val="-8"/>
          <w:kern w:val="0"/>
          <w:sz w:val="32"/>
          <w:szCs w:val="32"/>
        </w:rPr>
        <w:t>经县政府同意后</w:t>
      </w:r>
      <w:r>
        <w:rPr>
          <w:rFonts w:ascii="Times New Roman" w:hAnsi="Times New Roman" w:eastAsia="方正仿宋_GBK" w:cs="Times New Roman"/>
          <w:spacing w:val="-8"/>
          <w:kern w:val="0"/>
          <w:sz w:val="32"/>
          <w:szCs w:val="32"/>
        </w:rPr>
        <w:t>由</w:t>
      </w:r>
      <w:r>
        <w:rPr>
          <w:rFonts w:hint="eastAsia" w:ascii="Times New Roman" w:hAnsi="Times New Roman" w:eastAsia="方正仿宋_GBK" w:cs="Times New Roman"/>
          <w:spacing w:val="-8"/>
          <w:kern w:val="0"/>
          <w:sz w:val="32"/>
          <w:szCs w:val="32"/>
        </w:rPr>
        <w:t>县管道指挥部</w:t>
      </w:r>
      <w:r>
        <w:rPr>
          <w:rFonts w:ascii="Times New Roman" w:hAnsi="Times New Roman" w:eastAsia="方正仿宋_GBK" w:cs="Times New Roman"/>
          <w:spacing w:val="-8"/>
          <w:kern w:val="0"/>
          <w:sz w:val="32"/>
          <w:szCs w:val="32"/>
        </w:rPr>
        <w:t>发布，并立即报市</w:t>
      </w:r>
      <w:r>
        <w:rPr>
          <w:rFonts w:hint="eastAsia" w:ascii="Times New Roman" w:hAnsi="Times New Roman" w:eastAsia="方正仿宋_GBK" w:cs="Times New Roman"/>
          <w:spacing w:val="-8"/>
          <w:kern w:val="0"/>
          <w:sz w:val="32"/>
          <w:szCs w:val="32"/>
        </w:rPr>
        <w:t>应急局</w:t>
      </w:r>
      <w:r>
        <w:rPr>
          <w:rFonts w:ascii="Times New Roman" w:hAnsi="Times New Roman" w:eastAsia="方正仿宋_GBK" w:cs="Times New Roman"/>
          <w:spacing w:val="-8"/>
          <w:kern w:val="0"/>
          <w:sz w:val="32"/>
          <w:szCs w:val="32"/>
        </w:rPr>
        <w:t>备案。Ⅰ级和Ⅱ级预警信息，由</w:t>
      </w:r>
      <w:r>
        <w:rPr>
          <w:rFonts w:hint="eastAsia" w:ascii="Times New Roman" w:hAnsi="Times New Roman" w:eastAsia="方正仿宋_GBK" w:cs="Times New Roman"/>
          <w:spacing w:val="-8"/>
          <w:kern w:val="0"/>
          <w:sz w:val="32"/>
          <w:szCs w:val="32"/>
        </w:rPr>
        <w:t>市级相关部门</w:t>
      </w:r>
      <w:r>
        <w:rPr>
          <w:rFonts w:ascii="Times New Roman" w:hAnsi="Times New Roman" w:eastAsia="方正仿宋_GBK" w:cs="Times New Roman"/>
          <w:spacing w:val="-8"/>
          <w:kern w:val="0"/>
          <w:sz w:val="32"/>
          <w:szCs w:val="32"/>
        </w:rPr>
        <w:t>提出预警级别建议，市政府或其授权的单位负责发布。</w:t>
      </w:r>
    </w:p>
    <w:p>
      <w:pPr>
        <w:snapToGrid w:val="0"/>
        <w:spacing w:line="60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（2）发布内容。预警信息内容包括</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kern w:val="0"/>
          <w:sz w:val="32"/>
          <w:szCs w:val="32"/>
        </w:rPr>
        <w:t>发布单位、发布时间、可能发生突发事件的类别、起始时间、可能影响范围、预警级别、警示事项、事态发展、相关措施、咨询电话等内容。</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（3）发布途径。预警信息应当通过事故信息发布平台或电视、广播、报纸、微博、微信、手机短信等</w:t>
      </w:r>
      <w:r>
        <w:rPr>
          <w:rFonts w:hint="eastAsia" w:ascii="Times New Roman" w:hAnsi="Times New Roman" w:eastAsia="方正仿宋_GBK" w:cs="Times New Roman"/>
          <w:kern w:val="0"/>
          <w:sz w:val="32"/>
          <w:szCs w:val="32"/>
          <w:lang w:eastAsia="zh-CN"/>
        </w:rPr>
        <w:t>途径</w:t>
      </w:r>
      <w:r>
        <w:rPr>
          <w:rFonts w:ascii="Times New Roman" w:hAnsi="Times New Roman" w:eastAsia="方正仿宋_GBK" w:cs="Times New Roman"/>
          <w:kern w:val="0"/>
          <w:sz w:val="32"/>
          <w:szCs w:val="32"/>
        </w:rPr>
        <w:t>向公众发布。广播站、电视台、报社、网站和电信运营单位应当及时、准确、无偿地向社会公众传播预警信息。</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预警信息发布后，要密切关注事故进展情况，依据</w:t>
      </w:r>
      <w:r>
        <w:rPr>
          <w:rFonts w:hint="eastAsia" w:ascii="Times New Roman" w:hAnsi="Times New Roman" w:eastAsia="方正仿宋_GBK" w:cs="Times New Roman"/>
          <w:kern w:val="0"/>
          <w:sz w:val="32"/>
          <w:szCs w:val="32"/>
          <w:lang w:eastAsia="zh-CN"/>
        </w:rPr>
        <w:t>事态</w:t>
      </w:r>
      <w:r>
        <w:rPr>
          <w:rFonts w:hint="eastAsia" w:ascii="Times New Roman" w:hAnsi="Times New Roman" w:eastAsia="方正仿宋_GBK" w:cs="Times New Roman"/>
          <w:kern w:val="0"/>
          <w:sz w:val="32"/>
          <w:szCs w:val="32"/>
        </w:rPr>
        <w:t>变化情况适时调整预警级别，并及时发布。</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县管道指挥部有关成员单位应当根据预警信息立即做出部署，进入相应的应急工作状态，启动相关的应急响应，按职责做好应急防范处置工作。</w:t>
      </w:r>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42" w:name="_Toc17598"/>
      <w:bookmarkStart w:id="43" w:name="_Toc28868152"/>
      <w:r>
        <w:rPr>
          <w:rFonts w:hint="eastAsia" w:ascii="方正楷体_GBK" w:hAnsi="方正楷体_GBK" w:eastAsia="方正楷体_GBK" w:cs="方正楷体_GBK"/>
          <w:b w:val="0"/>
          <w:bCs w:val="0"/>
          <w:kern w:val="0"/>
        </w:rPr>
        <w:t>4.4 预警调整和解除</w:t>
      </w:r>
      <w:bookmarkEnd w:id="42"/>
      <w:bookmarkEnd w:id="43"/>
    </w:p>
    <w:p>
      <w:pPr>
        <w:snapToGrid w:val="0"/>
        <w:spacing w:line="60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预警信息发布后，发布预警信息的单位应当加强信息收集、分析、研判，及时掌握事件发展态势和排险进展。已发布的预警有升级可能时，由</w:t>
      </w:r>
      <w:r>
        <w:rPr>
          <w:rFonts w:hint="eastAsia" w:ascii="Times New Roman" w:hAnsi="Times New Roman" w:eastAsia="方正仿宋_GBK" w:cs="Times New Roman"/>
          <w:kern w:val="0"/>
          <w:sz w:val="32"/>
          <w:szCs w:val="32"/>
        </w:rPr>
        <w:t>县政府</w:t>
      </w:r>
      <w:r>
        <w:rPr>
          <w:rFonts w:ascii="Times New Roman" w:hAnsi="Times New Roman" w:eastAsia="方正仿宋_GBK" w:cs="Times New Roman"/>
          <w:kern w:val="0"/>
          <w:sz w:val="32"/>
          <w:szCs w:val="32"/>
        </w:rPr>
        <w:t>重新发布预警信息，并宣布预警级别调整；有降级可能时，由原发布单位宣布预警级别调整。确定不可能发生油气长输管道事故或危险已经解除时，发布预警信息的单位应当及时宣布解除预警，终止相关预警措施。</w:t>
      </w:r>
    </w:p>
    <w:p>
      <w:pPr>
        <w:pStyle w:val="4"/>
        <w:adjustRightInd w:val="0"/>
        <w:snapToGrid w:val="0"/>
        <w:spacing w:before="0" w:after="0" w:line="600" w:lineRule="exact"/>
        <w:rPr>
          <w:rFonts w:hint="eastAsia" w:ascii="方正楷体_GBK" w:hAnsi="方正楷体_GBK" w:eastAsia="方正楷体_GBK" w:cs="方正楷体_GBK"/>
          <w:b w:val="0"/>
          <w:bCs w:val="0"/>
          <w:kern w:val="0"/>
        </w:rPr>
      </w:pPr>
      <w:bookmarkStart w:id="44" w:name="_Toc28868153"/>
      <w:bookmarkStart w:id="45" w:name="_Toc29611"/>
      <w:r>
        <w:rPr>
          <w:rFonts w:hint="eastAsia" w:ascii="方正楷体_GBK" w:hAnsi="方正楷体_GBK" w:eastAsia="方正楷体_GBK" w:cs="方正楷体_GBK"/>
          <w:b w:val="0"/>
          <w:bCs w:val="0"/>
          <w:kern w:val="0"/>
        </w:rPr>
        <w:t>4.5 信息报告</w:t>
      </w:r>
      <w:bookmarkEnd w:id="44"/>
      <w:bookmarkEnd w:id="45"/>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事故发生后管道企业负责人应当立即向事发地乡镇人民政府、县发展改革委报告</w:t>
      </w:r>
      <w:r>
        <w:rPr>
          <w:rFonts w:hint="eastAsia" w:ascii="方正仿宋_GBK" w:hAnsi="华文仿宋" w:eastAsia="方正仿宋_GBK" w:cs="宋体"/>
          <w:snapToGrid w:val="0"/>
          <w:kern w:val="0"/>
          <w:sz w:val="32"/>
          <w:szCs w:val="32"/>
        </w:rPr>
        <w:t>事态发展情况和先期处置情况</w:t>
      </w:r>
      <w:r>
        <w:rPr>
          <w:rFonts w:hint="eastAsia" w:ascii="Times New Roman" w:hAnsi="Times New Roman" w:eastAsia="方正仿宋_GBK" w:cs="Times New Roman"/>
          <w:kern w:val="0"/>
          <w:sz w:val="32"/>
          <w:szCs w:val="32"/>
        </w:rPr>
        <w:t>；有关乡镇人民政府、县发展改革委接报后，要立即向县政府报告。若初判为较大及以上安全事故的，有关乡镇人民政府、县政府有关部门和有关单位要采取一切措施尽快掌握情况，20分钟内电话报告、40分钟内书面报告县委办公室、县政府办公室。</w:t>
      </w:r>
    </w:p>
    <w:p>
      <w:pPr>
        <w:snapToGrid w:val="0"/>
        <w:spacing w:line="60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各单位上报事故信息的内容应包括：事故发生单位概况；事故发生的时间、地点以及事故现场情况；事故已经造成或者可能造成的伤亡人数（包括下落不明的人数）和初步估计的直接经济损失；</w:t>
      </w:r>
      <w:r>
        <w:rPr>
          <w:rFonts w:hint="eastAsia" w:ascii="方正仿宋_GBK" w:hAnsi="华文仿宋" w:eastAsia="方正仿宋_GBK" w:cs="宋体"/>
          <w:snapToGrid w:val="0"/>
          <w:kern w:val="0"/>
          <w:sz w:val="32"/>
          <w:szCs w:val="32"/>
        </w:rPr>
        <w:t>已经采取的处置措施、事故控制情况及发展趋势</w:t>
      </w:r>
      <w:r>
        <w:rPr>
          <w:rFonts w:hint="eastAsia" w:ascii="Times New Roman" w:hAnsi="Times New Roman" w:eastAsia="方正仿宋_GBK" w:cs="Times New Roman"/>
          <w:kern w:val="0"/>
          <w:sz w:val="32"/>
          <w:szCs w:val="32"/>
        </w:rPr>
        <w:t>；</w:t>
      </w:r>
      <w:r>
        <w:rPr>
          <w:rFonts w:hint="eastAsia" w:ascii="方正仿宋_GBK" w:hAnsi="华文仿宋" w:eastAsia="方正仿宋_GBK" w:cs="宋体"/>
          <w:snapToGrid w:val="0"/>
          <w:kern w:val="0"/>
          <w:sz w:val="32"/>
          <w:szCs w:val="32"/>
        </w:rPr>
        <w:t>拟采取的措施及下一步工作建议等</w:t>
      </w:r>
      <w:r>
        <w:rPr>
          <w:rFonts w:hint="eastAsia" w:ascii="Times New Roman" w:hAnsi="Times New Roman" w:eastAsia="方正仿宋_GBK" w:cs="Times New Roman"/>
          <w:kern w:val="0"/>
          <w:sz w:val="32"/>
          <w:szCs w:val="32"/>
        </w:rPr>
        <w:t>。应急处置过程中要及时续报有关处置进展情况。</w:t>
      </w:r>
    </w:p>
    <w:p>
      <w:pPr>
        <w:keepNext/>
        <w:keepLines/>
        <w:snapToGrid w:val="0"/>
        <w:spacing w:line="580" w:lineRule="exact"/>
        <w:outlineLvl w:val="0"/>
        <w:rPr>
          <w:rFonts w:ascii="Times New Roman" w:hAnsi="Times New Roman" w:eastAsia="方正黑体_GBK" w:cs="Times New Roman"/>
          <w:kern w:val="0"/>
          <w:sz w:val="32"/>
          <w:szCs w:val="32"/>
        </w:rPr>
      </w:pPr>
      <w:bookmarkStart w:id="46" w:name="_Toc28868154"/>
      <w:bookmarkStart w:id="47" w:name="_Toc29028"/>
      <w:r>
        <w:rPr>
          <w:rFonts w:hint="eastAsia" w:ascii="Times New Roman" w:hAnsi="Times New Roman" w:eastAsia="方正黑体_GBK" w:cs="Times New Roman"/>
          <w:kern w:val="0"/>
          <w:sz w:val="32"/>
          <w:szCs w:val="32"/>
        </w:rPr>
        <w:t>5</w:t>
      </w:r>
      <w:r>
        <w:rPr>
          <w:rFonts w:ascii="Times New Roman" w:hAnsi="Times New Roman" w:eastAsia="方正黑体_GBK" w:cs="Times New Roman"/>
          <w:kern w:val="0"/>
          <w:sz w:val="32"/>
          <w:szCs w:val="32"/>
        </w:rPr>
        <w:t xml:space="preserve"> 应急响应</w:t>
      </w:r>
      <w:bookmarkEnd w:id="46"/>
      <w:bookmarkEnd w:id="47"/>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48" w:name="_Toc28868155"/>
      <w:bookmarkStart w:id="49" w:name="_Toc13998"/>
      <w:r>
        <w:rPr>
          <w:rFonts w:hint="eastAsia" w:ascii="方正楷体_GBK" w:hAnsi="方正楷体_GBK" w:eastAsia="方正楷体_GBK" w:cs="方正楷体_GBK"/>
          <w:b w:val="0"/>
          <w:bCs w:val="0"/>
          <w:kern w:val="0"/>
        </w:rPr>
        <w:t>5.1 响应分级</w:t>
      </w:r>
      <w:bookmarkEnd w:id="48"/>
      <w:bookmarkEnd w:id="49"/>
    </w:p>
    <w:p>
      <w:pPr>
        <w:snapToGrid w:val="0"/>
        <w:spacing w:line="58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油气长输管道</w:t>
      </w:r>
      <w:r>
        <w:rPr>
          <w:rFonts w:ascii="Times New Roman" w:hAnsi="Times New Roman" w:eastAsia="方正仿宋_GBK" w:cs="Times New Roman"/>
          <w:kern w:val="0"/>
          <w:sz w:val="32"/>
          <w:szCs w:val="32"/>
        </w:rPr>
        <w:t>事故应急响应等级分为Ⅰ级、Ⅱ级、Ⅲ级、Ⅳ级四个等级。</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初判发生特别重大、重大</w:t>
      </w:r>
      <w:r>
        <w:rPr>
          <w:rFonts w:hint="eastAsia" w:ascii="Times New Roman" w:hAnsi="Times New Roman" w:eastAsia="方正仿宋_GBK" w:cs="Times New Roman"/>
          <w:kern w:val="0"/>
          <w:sz w:val="32"/>
          <w:szCs w:val="32"/>
        </w:rPr>
        <w:t>油气长输管道</w:t>
      </w:r>
      <w:r>
        <w:rPr>
          <w:rFonts w:ascii="Times New Roman" w:hAnsi="Times New Roman" w:eastAsia="方正仿宋_GBK" w:cs="Times New Roman"/>
          <w:kern w:val="0"/>
          <w:sz w:val="32"/>
          <w:szCs w:val="32"/>
        </w:rPr>
        <w:t>事故，分别启动Ⅰ级、Ⅱ级应急响应，</w:t>
      </w:r>
      <w:r>
        <w:rPr>
          <w:rFonts w:hint="eastAsia" w:ascii="Times New Roman" w:hAnsi="Times New Roman" w:eastAsia="方正仿宋_GBK" w:cs="Times New Roman"/>
          <w:kern w:val="0"/>
          <w:sz w:val="32"/>
          <w:szCs w:val="32"/>
        </w:rPr>
        <w:t>在市应急救援指挥部的统一领导和指挥下，县管道指挥部立即启动本预案应急响应，迅速有效地开展先期处置工作，及时向市政府、市应急指挥部办公室及有关部门报告救援工作进展情况。</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初判发生一般、较大</w:t>
      </w:r>
      <w:r>
        <w:rPr>
          <w:rFonts w:hint="eastAsia" w:ascii="Times New Roman" w:hAnsi="Times New Roman" w:eastAsia="方正仿宋_GBK" w:cs="Times New Roman"/>
          <w:kern w:val="0"/>
          <w:sz w:val="32"/>
          <w:szCs w:val="32"/>
        </w:rPr>
        <w:t>油气长输管道</w:t>
      </w:r>
      <w:r>
        <w:rPr>
          <w:rFonts w:ascii="Times New Roman" w:hAnsi="Times New Roman" w:eastAsia="方正仿宋_GBK" w:cs="Times New Roman"/>
          <w:kern w:val="0"/>
          <w:sz w:val="32"/>
          <w:szCs w:val="32"/>
        </w:rPr>
        <w:t>事故，分别启动Ⅲ级、Ⅳ级应急响应，</w:t>
      </w:r>
      <w:r>
        <w:rPr>
          <w:rFonts w:hint="eastAsia" w:ascii="Times New Roman" w:hAnsi="Times New Roman" w:eastAsia="方正仿宋_GBK" w:cs="Times New Roman"/>
          <w:kern w:val="0"/>
          <w:sz w:val="32"/>
          <w:szCs w:val="32"/>
        </w:rPr>
        <w:t>由县管道指挥部组织实施。指挥长发布Ⅳ级、Ⅲ级应急响应命令，并赶赴现场进行指挥，各应急小组、各成员单位按照各自职责会同事发地乡镇及管道企业开展应急救援。事发地乡镇应当按照响应的预案全力以赴组织救援，并及时向县政府及有关部门、县管道指挥部办公室报告救援进展情况。管道企业按照企业内部应急预案配合县政府实施应急响应。县管道指挥部根据需要可向市级有关部门要求派出专家帮助指导处置事故。当事故随时间发展进一步加重，并有蔓延扩大的趋势，情况复杂难以控制时，应当上报市应急救援指挥部审定，及时提升预警和响应级别；对事故危害已迅速消除，并不会进一步扩散的，应当上报市应急救援指挥部审定，相应降低响应级别或者撤销预警。</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50" w:name="_Toc20900"/>
      <w:bookmarkStart w:id="51" w:name="_Toc28868156"/>
      <w:r>
        <w:rPr>
          <w:rFonts w:hint="eastAsia" w:ascii="方正楷体_GBK" w:hAnsi="方正楷体_GBK" w:eastAsia="方正楷体_GBK" w:cs="方正楷体_GBK"/>
          <w:b w:val="0"/>
          <w:bCs w:val="0"/>
          <w:kern w:val="0"/>
        </w:rPr>
        <w:t>5.2 应急救援</w:t>
      </w:r>
      <w:bookmarkEnd w:id="50"/>
      <w:bookmarkEnd w:id="51"/>
    </w:p>
    <w:p>
      <w:pPr>
        <w:pStyle w:val="5"/>
        <w:spacing w:before="0" w:after="0" w:line="580" w:lineRule="exact"/>
        <w:rPr>
          <w:rFonts w:ascii="Times New Roman" w:hAnsi="Times New Roman" w:eastAsia="方正仿宋_GBK" w:cs="Times New Roman"/>
          <w:b w:val="0"/>
          <w:bCs w:val="0"/>
          <w:kern w:val="0"/>
        </w:rPr>
      </w:pPr>
      <w:bookmarkStart w:id="52" w:name="_Toc28868200"/>
      <w:bookmarkStart w:id="53" w:name="_Toc28868157"/>
      <w:bookmarkStart w:id="54" w:name="_Toc2798"/>
      <w:r>
        <w:rPr>
          <w:rFonts w:ascii="Times New Roman" w:hAnsi="Times New Roman" w:eastAsia="方正仿宋_GBK" w:cs="Times New Roman"/>
          <w:b w:val="0"/>
          <w:bCs w:val="0"/>
          <w:kern w:val="0"/>
        </w:rPr>
        <w:t>5.2.1 先期处置</w:t>
      </w:r>
      <w:bookmarkEnd w:id="52"/>
      <w:bookmarkEnd w:id="53"/>
      <w:bookmarkEnd w:id="54"/>
    </w:p>
    <w:p>
      <w:pPr>
        <w:snapToGrid w:val="0"/>
        <w:spacing w:line="58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油气长输管道</w:t>
      </w:r>
      <w:r>
        <w:rPr>
          <w:rFonts w:ascii="Times New Roman" w:hAnsi="Times New Roman" w:eastAsia="方正仿宋_GBK" w:cs="Times New Roman"/>
          <w:kern w:val="0"/>
          <w:sz w:val="32"/>
          <w:szCs w:val="32"/>
        </w:rPr>
        <w:t>事故发生后，</w:t>
      </w:r>
      <w:r>
        <w:rPr>
          <w:rFonts w:hint="eastAsia" w:ascii="Times New Roman" w:hAnsi="Times New Roman" w:eastAsia="方正仿宋_GBK" w:cs="Times New Roman"/>
          <w:kern w:val="0"/>
          <w:sz w:val="32"/>
          <w:szCs w:val="32"/>
        </w:rPr>
        <w:t>发生</w:t>
      </w:r>
      <w:r>
        <w:rPr>
          <w:rFonts w:ascii="Times New Roman" w:hAnsi="Times New Roman" w:eastAsia="方正仿宋_GBK" w:cs="Times New Roman"/>
          <w:kern w:val="0"/>
          <w:sz w:val="32"/>
          <w:szCs w:val="32"/>
        </w:rPr>
        <w:t>事故</w:t>
      </w:r>
      <w:r>
        <w:rPr>
          <w:rFonts w:hint="eastAsia" w:ascii="Times New Roman" w:hAnsi="Times New Roman" w:eastAsia="方正仿宋_GBK" w:cs="Times New Roman"/>
          <w:kern w:val="0"/>
          <w:sz w:val="32"/>
          <w:szCs w:val="32"/>
        </w:rPr>
        <w:t>的管道</w:t>
      </w:r>
      <w:r>
        <w:rPr>
          <w:rFonts w:ascii="Times New Roman" w:hAnsi="Times New Roman" w:eastAsia="方正仿宋_GBK" w:cs="Times New Roman"/>
          <w:kern w:val="0"/>
          <w:sz w:val="32"/>
          <w:szCs w:val="32"/>
        </w:rPr>
        <w:t>企业为先期处置的主要责任单位，</w:t>
      </w:r>
      <w:r>
        <w:rPr>
          <w:rFonts w:hint="eastAsia" w:ascii="Times New Roman" w:hAnsi="Times New Roman" w:eastAsia="方正仿宋_GBK" w:cs="Times New Roman"/>
          <w:kern w:val="0"/>
          <w:sz w:val="32"/>
          <w:szCs w:val="32"/>
        </w:rPr>
        <w:t>企业</w:t>
      </w:r>
      <w:r>
        <w:rPr>
          <w:rFonts w:ascii="Times New Roman" w:hAnsi="Times New Roman" w:eastAsia="方正仿宋_GBK" w:cs="Times New Roman"/>
          <w:kern w:val="0"/>
          <w:sz w:val="32"/>
          <w:szCs w:val="32"/>
        </w:rPr>
        <w:t>主要负责人为抢险救援指挥的第一责任人，应立即组织开展抢险救援，同时</w:t>
      </w:r>
      <w:r>
        <w:rPr>
          <w:rFonts w:hint="eastAsia" w:ascii="Times New Roman" w:hAnsi="Times New Roman" w:eastAsia="方正仿宋_GBK" w:cs="Times New Roman"/>
          <w:kern w:val="0"/>
          <w:sz w:val="32"/>
          <w:szCs w:val="32"/>
          <w:lang w:val="en-US" w:eastAsia="zh-CN"/>
        </w:rPr>
        <w:t>第一时间</w:t>
      </w:r>
      <w:r>
        <w:rPr>
          <w:rFonts w:ascii="Times New Roman" w:hAnsi="Times New Roman" w:eastAsia="方正仿宋_GBK" w:cs="Times New Roman"/>
          <w:kern w:val="0"/>
          <w:sz w:val="32"/>
          <w:szCs w:val="32"/>
        </w:rPr>
        <w:t>报告事发地</w:t>
      </w:r>
      <w:r>
        <w:rPr>
          <w:rFonts w:hint="eastAsia" w:ascii="Times New Roman" w:hAnsi="Times New Roman" w:eastAsia="方正仿宋_GBK" w:cs="Times New Roman"/>
          <w:kern w:val="0"/>
          <w:sz w:val="32"/>
          <w:szCs w:val="32"/>
        </w:rPr>
        <w:t>乡镇。管道企业要立即启动应急响应，按预案采取措施控制事态发展，组织开展应急救援工作，并及时向县管道指挥部报告。</w:t>
      </w:r>
    </w:p>
    <w:p>
      <w:pPr>
        <w:pStyle w:val="5"/>
        <w:spacing w:before="0" w:after="0" w:line="580" w:lineRule="exact"/>
        <w:rPr>
          <w:rFonts w:ascii="Times New Roman" w:hAnsi="Times New Roman" w:eastAsia="方正仿宋_GBK" w:cs="Times New Roman"/>
          <w:b w:val="0"/>
          <w:bCs w:val="0"/>
          <w:kern w:val="0"/>
        </w:rPr>
      </w:pPr>
      <w:bookmarkStart w:id="55" w:name="_Toc16022"/>
      <w:bookmarkStart w:id="56" w:name="_Toc28868158"/>
      <w:bookmarkStart w:id="57" w:name="_Toc28868201"/>
      <w:r>
        <w:rPr>
          <w:rFonts w:ascii="Times New Roman" w:hAnsi="Times New Roman" w:eastAsia="方正仿宋_GBK" w:cs="Times New Roman"/>
          <w:b w:val="0"/>
          <w:bCs w:val="0"/>
          <w:kern w:val="0"/>
        </w:rPr>
        <w:t xml:space="preserve">5.2.2 </w:t>
      </w:r>
      <w:r>
        <w:rPr>
          <w:rFonts w:hint="eastAsia" w:ascii="Times New Roman" w:hAnsi="Times New Roman" w:eastAsia="方正仿宋_GBK" w:cs="Times New Roman"/>
          <w:b w:val="0"/>
          <w:bCs w:val="0"/>
          <w:kern w:val="0"/>
        </w:rPr>
        <w:t>应急响应</w:t>
      </w:r>
      <w:bookmarkEnd w:id="55"/>
      <w:bookmarkEnd w:id="56"/>
      <w:bookmarkEnd w:id="57"/>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需要县管道指挥部协调处置的较大事故（Ⅲ级）、一般事故（Ⅳ级），由县管道指挥部决策下达相应级别的应急响应命令。特别重大（I级）、重大（</w:t>
      </w:r>
      <w:r>
        <w:rPr>
          <w:rFonts w:hint="eastAsia" w:ascii="Times New Roman" w:hAnsi="Times New Roman" w:eastAsia="方正仿宋_GBK" w:cs="Times New Roman"/>
          <w:kern w:val="0"/>
          <w:sz w:val="32"/>
          <w:szCs w:val="32"/>
          <w:lang w:eastAsia="zh-CN"/>
        </w:rPr>
        <w:t>Ⅱ级</w:t>
      </w:r>
      <w:r>
        <w:rPr>
          <w:rFonts w:hint="eastAsia" w:ascii="Times New Roman" w:hAnsi="Times New Roman" w:eastAsia="方正仿宋_GBK" w:cs="Times New Roman"/>
          <w:kern w:val="0"/>
          <w:sz w:val="32"/>
          <w:szCs w:val="32"/>
        </w:rPr>
        <w:t>）由县管道指挥部启动县级响应后立即报市政府，建议响应市级相应预案。</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县管道指挥部各应急小组、各成员单位应按照本预案确定的职责要求，立即开展应急救援工作，组织有关人员赶赴事故现场或县管道指挥部办公室开展应急救援相关工作。县管道指挥部办公室要将现场应急救援工作情况及时报告县政府，保证事故抢险工作协调、有序、有效实施。</w:t>
      </w:r>
    </w:p>
    <w:p>
      <w:pPr>
        <w:pStyle w:val="5"/>
        <w:spacing w:before="0" w:after="0" w:line="580" w:lineRule="exact"/>
        <w:rPr>
          <w:rFonts w:ascii="Times New Roman" w:hAnsi="Times New Roman" w:eastAsia="方正仿宋_GBK" w:cs="Times New Roman"/>
          <w:b w:val="0"/>
          <w:bCs w:val="0"/>
          <w:kern w:val="0"/>
        </w:rPr>
      </w:pPr>
      <w:r>
        <w:rPr>
          <w:rFonts w:ascii="Times New Roman" w:hAnsi="Times New Roman" w:eastAsia="方正仿宋_GBK" w:cs="Times New Roman"/>
          <w:b w:val="0"/>
          <w:bCs w:val="0"/>
          <w:kern w:val="0"/>
        </w:rPr>
        <w:t>5.2.</w:t>
      </w:r>
      <w:r>
        <w:rPr>
          <w:rFonts w:hint="eastAsia" w:ascii="Times New Roman" w:hAnsi="Times New Roman" w:eastAsia="方正仿宋_GBK" w:cs="Times New Roman"/>
          <w:b w:val="0"/>
          <w:bCs w:val="0"/>
          <w:kern w:val="0"/>
        </w:rPr>
        <w:t>3</w:t>
      </w:r>
      <w:r>
        <w:rPr>
          <w:rFonts w:ascii="Times New Roman" w:hAnsi="Times New Roman" w:eastAsia="方正仿宋_GBK" w:cs="Times New Roman"/>
          <w:b w:val="0"/>
          <w:bCs w:val="0"/>
          <w:kern w:val="0"/>
        </w:rPr>
        <w:t xml:space="preserve"> </w:t>
      </w:r>
      <w:r>
        <w:rPr>
          <w:rFonts w:hint="eastAsia" w:ascii="Times New Roman" w:hAnsi="Times New Roman" w:eastAsia="方正仿宋_GBK" w:cs="Times New Roman"/>
          <w:b w:val="0"/>
          <w:bCs w:val="0"/>
          <w:kern w:val="0"/>
        </w:rPr>
        <w:t>现场紧急</w:t>
      </w:r>
      <w:r>
        <w:rPr>
          <w:rFonts w:ascii="Times New Roman" w:hAnsi="Times New Roman" w:eastAsia="方正仿宋_GBK" w:cs="Times New Roman"/>
          <w:b w:val="0"/>
          <w:bCs w:val="0"/>
          <w:kern w:val="0"/>
        </w:rPr>
        <w:t>处置</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发生事故的管道企业要迅速切断油气来源，配合当地政府部门封锁事故现场和危险区域。迅速撤离、疏散现场人员，设置警示标志，同时设法保护相邻装置、设备，严禁一切火源，切断一切电源，防止静电火花，并尽快将易燃易爆物品搬离危险区域，防止事态扩大和引发次生事故；</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（2）及时制定应急救援方案（切断或堵漏危险源等）并组织实施；</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（3）事故现场如有人员出现伤亡，立即调集相关（外伤、烧伤等方面）的医疗专家、医疗设备进行现场医疗救治，适时进行转移治疗；</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（4）事发地乡镇、公安部门应迅速组织事故发生地周围群众撤离危险区域，设置警戒线和划定安全</w:t>
      </w:r>
      <w:r>
        <w:rPr>
          <w:rFonts w:hint="eastAsia" w:ascii="Times New Roman" w:hAnsi="Times New Roman" w:eastAsia="方正仿宋_GBK" w:cs="Times New Roman"/>
          <w:kern w:val="0"/>
          <w:sz w:val="32"/>
          <w:szCs w:val="32"/>
          <w:lang w:eastAsia="zh-CN"/>
        </w:rPr>
        <w:t>区</w:t>
      </w:r>
      <w:r>
        <w:rPr>
          <w:rFonts w:hint="eastAsia" w:ascii="Times New Roman" w:hAnsi="Times New Roman" w:eastAsia="方正仿宋_GBK" w:cs="Times New Roman"/>
          <w:kern w:val="0"/>
          <w:sz w:val="32"/>
          <w:szCs w:val="32"/>
        </w:rPr>
        <w:t>域，维护好社会治安；气象部门、生态环境部门对事故现场和周边地区进行可燃气体分析、大气环境监测和预报，必要时向周边居民发出警报；</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（5）现场救援人员做好人身安全防护，避免烧伤、中毒、噪声等伤害；</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（6）在现场救援中需要移动现场物件时，有关部门应采取标志、记录、拍照、摄像和绘制现场图等措施进行现场标识，妥善保护好现场；</w:t>
      </w:r>
    </w:p>
    <w:p>
      <w:pPr>
        <w:snapToGrid w:val="0"/>
        <w:spacing w:line="58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（7）做好重要设施和目标的保护工作，防止对江河、湖泊、交通干线等造成重大影响。</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58" w:name="_Toc3507"/>
      <w:bookmarkStart w:id="59" w:name="_Toc28868159"/>
      <w:r>
        <w:rPr>
          <w:rFonts w:hint="eastAsia" w:ascii="方正楷体_GBK" w:hAnsi="方正楷体_GBK" w:eastAsia="方正楷体_GBK" w:cs="方正楷体_GBK"/>
          <w:b w:val="0"/>
          <w:bCs w:val="0"/>
          <w:kern w:val="0"/>
        </w:rPr>
        <w:t>5.3 响应结束</w:t>
      </w:r>
      <w:bookmarkEnd w:id="58"/>
      <w:bookmarkEnd w:id="59"/>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应急结束是指事故处置工作已基本完成，次生、衍生和事故危害基本消除，应急救援工作即告结束。</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事故应急救援工作结束后，特别重大事故、重大事故由市应急指挥部做出终止响应决定；较大事故、一般事故由县管道指挥部宣布应急响应结束。</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60" w:name="_Toc2655"/>
      <w:bookmarkStart w:id="61" w:name="_Toc28868160"/>
      <w:r>
        <w:rPr>
          <w:rFonts w:hint="eastAsia" w:ascii="方正楷体_GBK" w:hAnsi="方正楷体_GBK" w:eastAsia="方正楷体_GBK" w:cs="方正楷体_GBK"/>
          <w:b w:val="0"/>
          <w:bCs w:val="0"/>
          <w:kern w:val="0"/>
        </w:rPr>
        <w:t>5.4 信息发布</w:t>
      </w:r>
      <w:bookmarkEnd w:id="60"/>
      <w:bookmarkEnd w:id="61"/>
    </w:p>
    <w:p>
      <w:pPr>
        <w:snapToGrid w:val="0"/>
        <w:spacing w:line="58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事故的信息发布工作，应按照及时、准确、客观、全面的原则，在事故发生的第一时间向社会发布重要信息，及时发布初步调查核实情况、采取的应对措施和公众防范措施，并根据事故处置情况做好后续发布工作。</w:t>
      </w:r>
    </w:p>
    <w:p>
      <w:pPr>
        <w:keepNext/>
        <w:keepLines/>
        <w:snapToGrid w:val="0"/>
        <w:spacing w:line="580" w:lineRule="exact"/>
        <w:outlineLvl w:val="0"/>
        <w:rPr>
          <w:rFonts w:ascii="Times New Roman" w:hAnsi="Times New Roman" w:eastAsia="方正黑体_GBK" w:cs="Times New Roman"/>
          <w:kern w:val="0"/>
          <w:sz w:val="32"/>
          <w:szCs w:val="32"/>
        </w:rPr>
      </w:pPr>
      <w:bookmarkStart w:id="62" w:name="_Toc28868161"/>
      <w:bookmarkStart w:id="63" w:name="_Toc15038"/>
      <w:r>
        <w:rPr>
          <w:rFonts w:hint="eastAsia" w:ascii="Times New Roman" w:hAnsi="Times New Roman" w:eastAsia="方正黑体_GBK" w:cs="Times New Roman"/>
          <w:kern w:val="0"/>
          <w:sz w:val="32"/>
          <w:szCs w:val="32"/>
        </w:rPr>
        <w:t>6</w:t>
      </w:r>
      <w:r>
        <w:rPr>
          <w:rFonts w:ascii="Times New Roman" w:hAnsi="Times New Roman" w:eastAsia="方正黑体_GBK" w:cs="Times New Roman"/>
          <w:kern w:val="0"/>
          <w:sz w:val="32"/>
          <w:szCs w:val="32"/>
        </w:rPr>
        <w:t xml:space="preserve"> 后期处置</w:t>
      </w:r>
      <w:bookmarkEnd w:id="62"/>
      <w:bookmarkEnd w:id="63"/>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64" w:name="_Toc19367"/>
      <w:bookmarkStart w:id="65" w:name="_Toc28868162"/>
      <w:r>
        <w:rPr>
          <w:rFonts w:hint="eastAsia" w:ascii="方正楷体_GBK" w:hAnsi="方正楷体_GBK" w:eastAsia="方正楷体_GBK" w:cs="方正楷体_GBK"/>
          <w:b w:val="0"/>
          <w:bCs w:val="0"/>
          <w:kern w:val="0"/>
        </w:rPr>
        <w:t>6.1 善后处理</w:t>
      </w:r>
      <w:bookmarkEnd w:id="64"/>
      <w:bookmarkEnd w:id="65"/>
    </w:p>
    <w:p>
      <w:pPr>
        <w:snapToGrid w:val="0"/>
        <w:spacing w:line="58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现场清理、环境污染消除及设备检查、生产恢复由事故发生企业按照规定程序及生产工艺要求进行；事故伤亡人员按照国家有关规定给予治疗和抚恤；县政府及有关部门、事发地乡镇对在救援工作中受伤、致残、牺牲的人员，按照国家有关规定，给予相应的补助和抚恤；在抢险过程中紧急调用的物资、设备、运输车辆和占用的场地，由征用部门提出补偿明细，报县财政局审核后，按照国家规定给予补偿。</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66" w:name="_Toc28868163"/>
      <w:bookmarkStart w:id="67" w:name="_Toc13131"/>
      <w:r>
        <w:rPr>
          <w:rFonts w:hint="eastAsia" w:ascii="方正楷体_GBK" w:hAnsi="方正楷体_GBK" w:eastAsia="方正楷体_GBK" w:cs="方正楷体_GBK"/>
          <w:b w:val="0"/>
          <w:bCs w:val="0"/>
          <w:kern w:val="0"/>
        </w:rPr>
        <w:t>6.2 事故调查</w:t>
      </w:r>
      <w:bookmarkEnd w:id="66"/>
      <w:bookmarkEnd w:id="67"/>
    </w:p>
    <w:p>
      <w:pPr>
        <w:snapToGrid w:val="0"/>
        <w:spacing w:line="58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调查处理组查明事故发生的经过、原因、人员伤亡情况及直接经济损失；认定事故的性质和事故责任；提出对事故责任者的处理建议；总结事故教训，提出防范和整改措施；提交事故调查报告。</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68" w:name="_Toc27632"/>
      <w:r>
        <w:rPr>
          <w:rFonts w:hint="eastAsia" w:ascii="方正楷体_GBK" w:hAnsi="方正楷体_GBK" w:eastAsia="方正楷体_GBK" w:cs="方正楷体_GBK"/>
          <w:b w:val="0"/>
          <w:bCs w:val="0"/>
          <w:kern w:val="0"/>
        </w:rPr>
        <w:t>6.3 总结评估</w:t>
      </w:r>
      <w:bookmarkEnd w:id="68"/>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全部现场应急救援工作结束后，县管道指挥部召集各有关部门，对事故应急救援工作进行全面总结评估，提出加强和改进同类应急救援工作的意见建议。应急救援评估报告在善后处置工作结束后及时以书面形式报县政府及有关部门。</w:t>
      </w:r>
    </w:p>
    <w:p>
      <w:pPr>
        <w:keepNext/>
        <w:keepLines/>
        <w:snapToGrid w:val="0"/>
        <w:spacing w:line="580" w:lineRule="exact"/>
        <w:outlineLvl w:val="0"/>
        <w:rPr>
          <w:rFonts w:ascii="Times New Roman" w:hAnsi="Times New Roman" w:eastAsia="方正黑体_GBK" w:cs="Times New Roman"/>
          <w:kern w:val="0"/>
          <w:sz w:val="32"/>
          <w:szCs w:val="32"/>
        </w:rPr>
      </w:pPr>
      <w:bookmarkStart w:id="69" w:name="_Toc30529"/>
      <w:bookmarkStart w:id="70" w:name="_Toc28868164"/>
      <w:r>
        <w:rPr>
          <w:rFonts w:hint="eastAsia" w:ascii="Times New Roman" w:hAnsi="Times New Roman" w:eastAsia="方正黑体_GBK" w:cs="Times New Roman"/>
          <w:kern w:val="0"/>
          <w:sz w:val="32"/>
          <w:szCs w:val="32"/>
        </w:rPr>
        <w:t>7</w:t>
      </w:r>
      <w:r>
        <w:rPr>
          <w:rFonts w:ascii="Times New Roman" w:hAnsi="Times New Roman" w:eastAsia="方正黑体_GBK" w:cs="Times New Roman"/>
          <w:kern w:val="0"/>
          <w:sz w:val="32"/>
          <w:szCs w:val="32"/>
        </w:rPr>
        <w:t xml:space="preserve"> 保障</w:t>
      </w:r>
      <w:r>
        <w:rPr>
          <w:rFonts w:hint="eastAsia" w:ascii="Times New Roman" w:hAnsi="Times New Roman" w:eastAsia="方正黑体_GBK" w:cs="Times New Roman"/>
          <w:kern w:val="0"/>
          <w:sz w:val="32"/>
          <w:szCs w:val="32"/>
        </w:rPr>
        <w:t>措施</w:t>
      </w:r>
      <w:bookmarkEnd w:id="69"/>
      <w:bookmarkEnd w:id="70"/>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71" w:name="_Toc28868165"/>
      <w:bookmarkStart w:id="72" w:name="_Toc27072"/>
      <w:r>
        <w:rPr>
          <w:rFonts w:hint="eastAsia" w:ascii="方正楷体_GBK" w:hAnsi="方正楷体_GBK" w:eastAsia="方正楷体_GBK" w:cs="方正楷体_GBK"/>
          <w:b w:val="0"/>
          <w:bCs w:val="0"/>
          <w:kern w:val="0"/>
        </w:rPr>
        <w:t>7.1 通信及信息保障</w:t>
      </w:r>
      <w:bookmarkEnd w:id="71"/>
      <w:bookmarkEnd w:id="72"/>
    </w:p>
    <w:p>
      <w:pPr>
        <w:snapToGrid w:val="0"/>
        <w:spacing w:line="58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各成员单位及其负责人应保持通讯联系畅通，保证能够随时取得联系，应急响应期间值班电话保证24小时有人值守。各成员单位要建立相关基础信息数据库，与相关部门建立应急工作机制，为事故应急救援提供技术支持。</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73" w:name="_Toc30812"/>
      <w:r>
        <w:rPr>
          <w:rFonts w:hint="eastAsia" w:ascii="方正楷体_GBK" w:hAnsi="方正楷体_GBK" w:eastAsia="方正楷体_GBK" w:cs="方正楷体_GBK"/>
          <w:b w:val="0"/>
          <w:bCs w:val="0"/>
          <w:kern w:val="0"/>
        </w:rPr>
        <w:t>7.2 队伍保障</w:t>
      </w:r>
      <w:bookmarkEnd w:id="73"/>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油气管道企业专业应急救援队伍是应急救援工作的基础力量，应按照有关规定配备人员、装备，开展培训、演习；各成员单位应急救援队伍是事故救援的重要支援力量和补充力量，应合理确定队伍规模，加强技能培训，满足工作需要；县管道指挥部应加强对应急队伍的监督检查，促使其保持战斗力，在应急响应时统一协调指挥调配应急救援队伍。</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74" w:name="_Toc28653"/>
      <w:bookmarkStart w:id="75" w:name="_Toc28868166"/>
      <w:r>
        <w:rPr>
          <w:rFonts w:hint="eastAsia" w:ascii="方正楷体_GBK" w:hAnsi="方正楷体_GBK" w:eastAsia="方正楷体_GBK" w:cs="方正楷体_GBK"/>
          <w:b w:val="0"/>
          <w:bCs w:val="0"/>
          <w:kern w:val="0"/>
        </w:rPr>
        <w:t>7.3 物资装备保障</w:t>
      </w:r>
      <w:bookmarkEnd w:id="74"/>
      <w:bookmarkEnd w:id="75"/>
    </w:p>
    <w:p>
      <w:pPr>
        <w:snapToGrid w:val="0"/>
        <w:spacing w:line="58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油气管道企业按照有关规定储备应急救援物资，县消防救援大队按规定配备应急救援物资装备。应急响应时所需物资的调用、采购、储备、管理，遵循“服从调动、服务大局”的原则，听从管道指挥部的统一指挥，保证应急救援的需求。</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76" w:name="_Toc24064"/>
      <w:r>
        <w:rPr>
          <w:rFonts w:hint="eastAsia" w:ascii="方正楷体_GBK" w:hAnsi="方正楷体_GBK" w:eastAsia="方正楷体_GBK" w:cs="方正楷体_GBK"/>
          <w:b w:val="0"/>
          <w:bCs w:val="0"/>
          <w:kern w:val="0"/>
        </w:rPr>
        <w:t>7.4 交通保障</w:t>
      </w:r>
      <w:bookmarkEnd w:id="76"/>
    </w:p>
    <w:p>
      <w:pPr>
        <w:snapToGrid w:val="0"/>
        <w:spacing w:line="580" w:lineRule="exact"/>
        <w:ind w:firstLine="640" w:firstLineChars="200"/>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各部门和有关单位要健全应急运输保障体系，保障所需人员、物资、装备、器材等的运输，公安、市政等有关部门要保障应急抢险交通工具优先通行。</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77" w:name="_Toc6307"/>
      <w:r>
        <w:rPr>
          <w:rFonts w:hint="eastAsia" w:ascii="方正楷体_GBK" w:hAnsi="方正楷体_GBK" w:eastAsia="方正楷体_GBK" w:cs="方正楷体_GBK"/>
          <w:b w:val="0"/>
          <w:bCs w:val="0"/>
          <w:kern w:val="0"/>
        </w:rPr>
        <w:t>7.5 技术保障</w:t>
      </w:r>
      <w:bookmarkEnd w:id="77"/>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各部门和有关单位</w:t>
      </w:r>
      <w:r>
        <w:rPr>
          <w:rFonts w:ascii="Times New Roman" w:hAnsi="Times New Roman" w:eastAsia="方正仿宋_GBK" w:cs="Times New Roman"/>
          <w:kern w:val="0"/>
          <w:sz w:val="32"/>
          <w:szCs w:val="32"/>
        </w:rPr>
        <w:t>要</w:t>
      </w:r>
      <w:r>
        <w:rPr>
          <w:rFonts w:hint="eastAsia" w:ascii="Times New Roman" w:hAnsi="Times New Roman" w:eastAsia="方正仿宋_GBK" w:cs="Times New Roman"/>
          <w:kern w:val="0"/>
          <w:sz w:val="32"/>
          <w:szCs w:val="32"/>
        </w:rPr>
        <w:t>充分利用现有的技术专家资源和技术装备资源，依托市能源局组建的市油气长输管道事故抢险救援专家库、市应急管理局组建的市应急管理专家（渝安办〔2019〕62号）、市应急救援专家（渝应急办〔2019〕62号）等技术专家队伍，提供在应急状态下的技术支持、科学施救，并</w:t>
      </w:r>
      <w:r>
        <w:rPr>
          <w:rFonts w:ascii="Times New Roman" w:hAnsi="Times New Roman" w:eastAsia="方正仿宋_GBK" w:cs="Times New Roman"/>
          <w:kern w:val="0"/>
          <w:sz w:val="32"/>
          <w:szCs w:val="32"/>
        </w:rPr>
        <w:t>不断提升突发事故预防预警和应急处置工作水平</w:t>
      </w:r>
      <w:r>
        <w:rPr>
          <w:rFonts w:hint="eastAsia" w:ascii="Times New Roman" w:hAnsi="Times New Roman" w:eastAsia="方正仿宋_GBK" w:cs="Times New Roman"/>
          <w:kern w:val="0"/>
          <w:sz w:val="32"/>
          <w:szCs w:val="32"/>
        </w:rPr>
        <w:t>。</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78" w:name="_Toc4248"/>
      <w:r>
        <w:rPr>
          <w:rFonts w:hint="eastAsia" w:ascii="方正楷体_GBK" w:hAnsi="方正楷体_GBK" w:eastAsia="方正楷体_GBK" w:cs="方正楷体_GBK"/>
          <w:b w:val="0"/>
          <w:bCs w:val="0"/>
          <w:kern w:val="0"/>
        </w:rPr>
        <w:t>7.6 经费保障</w:t>
      </w:r>
      <w:bookmarkEnd w:id="78"/>
    </w:p>
    <w:p>
      <w:pPr>
        <w:snapToGrid w:val="0"/>
        <w:spacing w:line="550" w:lineRule="exact"/>
        <w:ind w:firstLine="480" w:firstLineChars="150"/>
        <w:rPr>
          <w:rFonts w:ascii="方正仿宋_GBK" w:hAnsi="华文仿宋" w:eastAsia="方正仿宋_GBK" w:cs="宋体"/>
          <w:snapToGrid w:val="0"/>
          <w:kern w:val="0"/>
          <w:sz w:val="32"/>
          <w:szCs w:val="32"/>
        </w:rPr>
      </w:pPr>
      <w:r>
        <w:rPr>
          <w:rFonts w:hint="eastAsia" w:ascii="方正仿宋_GBK" w:hAnsi="华文仿宋" w:eastAsia="方正仿宋_GBK" w:cs="宋体"/>
          <w:snapToGrid w:val="0"/>
          <w:kern w:val="0"/>
          <w:sz w:val="32"/>
          <w:szCs w:val="32"/>
        </w:rPr>
        <w:t>县财政部门保障</w:t>
      </w:r>
      <w:r>
        <w:rPr>
          <w:rFonts w:hint="eastAsia" w:ascii="方正仿宋_GBK" w:hAnsi="华文仿宋" w:eastAsia="方正仿宋_GBK" w:cs="宋体"/>
          <w:snapToGrid w:val="0"/>
          <w:kern w:val="0"/>
          <w:sz w:val="32"/>
          <w:szCs w:val="32"/>
          <w:lang w:eastAsia="zh-CN"/>
        </w:rPr>
        <w:t>油气长输管道</w:t>
      </w:r>
      <w:r>
        <w:rPr>
          <w:rFonts w:hint="eastAsia" w:ascii="方正仿宋_GBK" w:hAnsi="华文仿宋" w:eastAsia="方正仿宋_GBK" w:cs="宋体"/>
          <w:snapToGrid w:val="0"/>
          <w:kern w:val="0"/>
          <w:sz w:val="32"/>
          <w:szCs w:val="32"/>
        </w:rPr>
        <w:t>事故应急处置所需必要经费。</w:t>
      </w:r>
      <w:r>
        <w:rPr>
          <w:rFonts w:hint="eastAsia" w:ascii="方正仿宋_GBK" w:hAnsi="华文仿宋" w:eastAsia="方正仿宋_GBK" w:cs="宋体"/>
          <w:snapToGrid w:val="0"/>
          <w:kern w:val="0"/>
          <w:sz w:val="32"/>
          <w:szCs w:val="32"/>
          <w:lang w:eastAsia="zh-CN"/>
        </w:rPr>
        <w:t>油气长输管道</w:t>
      </w:r>
      <w:r>
        <w:rPr>
          <w:rFonts w:hint="eastAsia" w:ascii="方正仿宋_GBK" w:hAnsi="华文仿宋" w:eastAsia="方正仿宋_GBK" w:cs="宋体"/>
          <w:snapToGrid w:val="0"/>
          <w:kern w:val="0"/>
          <w:sz w:val="32"/>
          <w:szCs w:val="32"/>
        </w:rPr>
        <w:t>企业要根据国家有关规定安排应急处置资金，确保应急处置的资金需要。</w:t>
      </w:r>
    </w:p>
    <w:p>
      <w:pPr>
        <w:snapToGrid w:val="0"/>
        <w:spacing w:line="580" w:lineRule="exact"/>
        <w:rPr>
          <w:rFonts w:ascii="Times New Roman" w:hAnsi="Times New Roman" w:eastAsia="方正仿宋_GBK" w:cs="Times New Roman"/>
          <w:kern w:val="0"/>
          <w:sz w:val="32"/>
          <w:szCs w:val="32"/>
        </w:rPr>
      </w:pPr>
    </w:p>
    <w:p>
      <w:pPr>
        <w:keepNext/>
        <w:keepLines/>
        <w:snapToGrid w:val="0"/>
        <w:spacing w:line="580" w:lineRule="exact"/>
        <w:outlineLvl w:val="0"/>
        <w:rPr>
          <w:rFonts w:ascii="Times New Roman" w:hAnsi="Times New Roman" w:eastAsia="方正黑体_GBK" w:cs="Times New Roman"/>
          <w:kern w:val="0"/>
          <w:sz w:val="32"/>
          <w:szCs w:val="20"/>
        </w:rPr>
      </w:pPr>
      <w:bookmarkStart w:id="79" w:name="_Toc19917"/>
      <w:r>
        <w:rPr>
          <w:rFonts w:hint="eastAsia" w:ascii="Times New Roman" w:hAnsi="Times New Roman" w:eastAsia="方正黑体_GBK" w:cs="Times New Roman"/>
          <w:kern w:val="0"/>
          <w:sz w:val="32"/>
          <w:szCs w:val="20"/>
        </w:rPr>
        <w:t>8</w:t>
      </w:r>
      <w:r>
        <w:rPr>
          <w:rFonts w:ascii="Times New Roman" w:hAnsi="Times New Roman" w:eastAsia="方正黑体_GBK" w:cs="Times New Roman"/>
          <w:kern w:val="0"/>
          <w:sz w:val="32"/>
          <w:szCs w:val="20"/>
        </w:rPr>
        <w:t xml:space="preserve"> </w:t>
      </w:r>
      <w:r>
        <w:rPr>
          <w:rFonts w:hint="eastAsia" w:ascii="Times New Roman" w:hAnsi="Times New Roman" w:eastAsia="方正黑体_GBK" w:cs="Times New Roman"/>
          <w:kern w:val="0"/>
          <w:sz w:val="32"/>
          <w:szCs w:val="20"/>
        </w:rPr>
        <w:t>监督管理</w:t>
      </w:r>
      <w:bookmarkEnd w:id="79"/>
    </w:p>
    <w:p>
      <w:pPr>
        <w:pStyle w:val="4"/>
        <w:adjustRightInd w:val="0"/>
        <w:snapToGrid w:val="0"/>
        <w:spacing w:before="0" w:after="0" w:line="580" w:lineRule="exact"/>
        <w:rPr>
          <w:rFonts w:hint="eastAsia" w:ascii="方正楷体_GBK" w:hAnsi="方正楷体_GBK" w:eastAsia="方正楷体_GBK" w:cs="方正楷体_GBK"/>
          <w:b w:val="0"/>
          <w:bCs w:val="0"/>
          <w:kern w:val="0"/>
          <w:lang w:eastAsia="zh-CN"/>
        </w:rPr>
      </w:pPr>
      <w:bookmarkStart w:id="80" w:name="_Toc28868167"/>
      <w:bookmarkStart w:id="81" w:name="_Toc4328"/>
      <w:r>
        <w:rPr>
          <w:rFonts w:hint="eastAsia" w:ascii="方正楷体_GBK" w:hAnsi="方正楷体_GBK" w:eastAsia="方正楷体_GBK" w:cs="方正楷体_GBK"/>
          <w:b w:val="0"/>
          <w:bCs w:val="0"/>
          <w:kern w:val="0"/>
        </w:rPr>
        <w:t>8.1 宣传培训</w:t>
      </w:r>
      <w:bookmarkEnd w:id="80"/>
      <w:r>
        <w:rPr>
          <w:rFonts w:hint="eastAsia" w:ascii="方正楷体_GBK" w:hAnsi="方正楷体_GBK" w:eastAsia="方正楷体_GBK" w:cs="方正楷体_GBK"/>
          <w:b w:val="0"/>
          <w:bCs w:val="0"/>
          <w:kern w:val="0"/>
          <w:lang w:eastAsia="zh-CN"/>
        </w:rPr>
        <w:t>和演练</w:t>
      </w:r>
      <w:bookmarkEnd w:id="81"/>
    </w:p>
    <w:p>
      <w:pPr>
        <w:snapToGrid w:val="0"/>
        <w:spacing w:line="550" w:lineRule="exact"/>
        <w:ind w:firstLine="480" w:firstLineChars="15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各涉及油气长输管道的乡镇、相关部门、管道企业要及时向公众和员工宣传</w:t>
      </w:r>
      <w:r>
        <w:rPr>
          <w:rFonts w:hint="eastAsia" w:ascii="Times New Roman" w:hAnsi="Times New Roman" w:eastAsia="方正仿宋_GBK" w:cs="Times New Roman"/>
          <w:kern w:val="0"/>
          <w:sz w:val="32"/>
          <w:szCs w:val="32"/>
          <w:lang w:eastAsia="zh-CN"/>
        </w:rPr>
        <w:t>油气长输</w:t>
      </w:r>
      <w:r>
        <w:rPr>
          <w:rFonts w:hint="eastAsia" w:ascii="Times New Roman" w:hAnsi="Times New Roman" w:eastAsia="方正仿宋_GBK" w:cs="Times New Roman"/>
          <w:kern w:val="0"/>
          <w:sz w:val="32"/>
          <w:szCs w:val="32"/>
        </w:rPr>
        <w:t>管道的危险性及发生事故可能造成的危害，广泛宣传应急救援有关法律法规和事故预防、避险、自救、互救常识。</w:t>
      </w:r>
      <w:r>
        <w:rPr>
          <w:rFonts w:hint="eastAsia" w:ascii="方正仿宋_GBK" w:hAnsi="华文仿宋" w:eastAsia="方正仿宋_GBK" w:cs="宋体"/>
          <w:snapToGrid w:val="0"/>
          <w:kern w:val="0"/>
          <w:sz w:val="32"/>
          <w:szCs w:val="32"/>
        </w:rPr>
        <w:t>有关部门和</w:t>
      </w:r>
      <w:r>
        <w:rPr>
          <w:rFonts w:hint="eastAsia" w:ascii="方正仿宋_GBK" w:hAnsi="华文仿宋" w:eastAsia="方正仿宋_GBK" w:cs="宋体"/>
          <w:snapToGrid w:val="0"/>
          <w:kern w:val="0"/>
          <w:sz w:val="32"/>
          <w:szCs w:val="32"/>
          <w:lang w:eastAsia="zh-CN"/>
        </w:rPr>
        <w:t>管道</w:t>
      </w:r>
      <w:r>
        <w:rPr>
          <w:rFonts w:hint="eastAsia" w:ascii="方正仿宋_GBK" w:hAnsi="华文仿宋" w:eastAsia="方正仿宋_GBK" w:cs="宋体"/>
          <w:snapToGrid w:val="0"/>
          <w:kern w:val="0"/>
          <w:sz w:val="32"/>
          <w:szCs w:val="32"/>
        </w:rPr>
        <w:t>企业要根据本预案的要求，组织本部门、本行业、本单位人员开展应急抢险业务培训，熟悉应急处置程序，做好各项应急准备工作。</w:t>
      </w:r>
      <w:r>
        <w:rPr>
          <w:rFonts w:hint="eastAsia" w:ascii="方正仿宋_GBK" w:hAnsi="华文仿宋" w:eastAsia="方正仿宋_GBK" w:cs="宋体"/>
          <w:snapToGrid w:val="0"/>
          <w:kern w:val="0"/>
          <w:sz w:val="32"/>
          <w:szCs w:val="32"/>
          <w:lang w:eastAsia="zh-CN"/>
        </w:rPr>
        <w:t>油气长输管道</w:t>
      </w:r>
      <w:r>
        <w:rPr>
          <w:rFonts w:hint="eastAsia" w:ascii="方正仿宋_GBK" w:hAnsi="华文仿宋" w:eastAsia="方正仿宋_GBK" w:cs="宋体"/>
          <w:snapToGrid w:val="0"/>
          <w:kern w:val="0"/>
          <w:sz w:val="32"/>
          <w:szCs w:val="32"/>
        </w:rPr>
        <w:t>行业主管部门会同有关部门、有关单位和</w:t>
      </w:r>
      <w:r>
        <w:rPr>
          <w:rFonts w:hint="eastAsia" w:ascii="方正仿宋_GBK" w:hAnsi="华文仿宋" w:eastAsia="方正仿宋_GBK" w:cs="宋体"/>
          <w:snapToGrid w:val="0"/>
          <w:kern w:val="0"/>
          <w:sz w:val="32"/>
          <w:szCs w:val="32"/>
          <w:lang w:eastAsia="zh-CN"/>
        </w:rPr>
        <w:t>管道</w:t>
      </w:r>
      <w:r>
        <w:rPr>
          <w:rFonts w:hint="eastAsia" w:ascii="方正仿宋_GBK" w:hAnsi="华文仿宋" w:eastAsia="方正仿宋_GBK" w:cs="宋体"/>
          <w:snapToGrid w:val="0"/>
          <w:kern w:val="0"/>
          <w:sz w:val="32"/>
          <w:szCs w:val="32"/>
        </w:rPr>
        <w:t>企业定期开展</w:t>
      </w:r>
      <w:r>
        <w:rPr>
          <w:rFonts w:hint="eastAsia" w:ascii="方正仿宋_GBK" w:hAnsi="华文仿宋" w:eastAsia="方正仿宋_GBK" w:cs="宋体"/>
          <w:snapToGrid w:val="0"/>
          <w:kern w:val="0"/>
          <w:sz w:val="32"/>
          <w:szCs w:val="32"/>
          <w:lang w:eastAsia="zh-CN"/>
        </w:rPr>
        <w:t>油气长输管道</w:t>
      </w:r>
      <w:r>
        <w:rPr>
          <w:rFonts w:hint="eastAsia" w:ascii="方正仿宋_GBK" w:hAnsi="华文仿宋" w:eastAsia="方正仿宋_GBK" w:cs="宋体"/>
          <w:snapToGrid w:val="0"/>
          <w:kern w:val="0"/>
          <w:sz w:val="32"/>
          <w:szCs w:val="32"/>
        </w:rPr>
        <w:t>事故应急演练，并修订和完善应急预案。</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82" w:name="_Toc22932"/>
      <w:bookmarkStart w:id="83" w:name="_Toc28868168"/>
      <w:r>
        <w:rPr>
          <w:rFonts w:hint="eastAsia" w:ascii="方正楷体_GBK" w:hAnsi="方正楷体_GBK" w:eastAsia="方正楷体_GBK" w:cs="方正楷体_GBK"/>
          <w:b w:val="0"/>
          <w:bCs w:val="0"/>
          <w:kern w:val="0"/>
        </w:rPr>
        <w:t>8.</w:t>
      </w:r>
      <w:r>
        <w:rPr>
          <w:rFonts w:hint="eastAsia" w:ascii="方正楷体_GBK" w:hAnsi="方正楷体_GBK" w:eastAsia="方正楷体_GBK" w:cs="方正楷体_GBK"/>
          <w:b w:val="0"/>
          <w:bCs w:val="0"/>
          <w:kern w:val="0"/>
          <w:lang w:val="en-US" w:eastAsia="zh-CN"/>
        </w:rPr>
        <w:t>2</w:t>
      </w:r>
      <w:r>
        <w:rPr>
          <w:rFonts w:hint="eastAsia" w:ascii="方正楷体_GBK" w:hAnsi="方正楷体_GBK" w:eastAsia="方正楷体_GBK" w:cs="方正楷体_GBK"/>
          <w:b w:val="0"/>
          <w:bCs w:val="0"/>
          <w:kern w:val="0"/>
        </w:rPr>
        <w:t xml:space="preserve"> 责任与奖惩</w:t>
      </w:r>
      <w:bookmarkEnd w:id="82"/>
      <w:bookmarkEnd w:id="83"/>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县管道指挥部办公室负责对《重庆市石柱县油气长输管道事故应急预案》执行情况进行检查，督促有关部门（单位）对存在的问题进行整改。对在突发事件应对工作中做出突出贡献的单位和个人，按照有关规定给予表彰或奖励。对应急救援组织不力，迟报、瞒报、谎报和漏报突发事件重要情况，造成事故损失扩大或应急管理工作中有其他渎职行为的，依据有关法律法规对有关单位和个人进行处分，构成犯罪的，依法追究法律责任。</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84" w:name="_Toc770"/>
      <w:r>
        <w:rPr>
          <w:rFonts w:hint="eastAsia" w:ascii="方正楷体_GBK" w:hAnsi="方正楷体_GBK" w:eastAsia="方正楷体_GBK" w:cs="方正楷体_GBK"/>
          <w:b w:val="0"/>
          <w:bCs w:val="0"/>
          <w:kern w:val="0"/>
        </w:rPr>
        <w:t>8.</w:t>
      </w:r>
      <w:r>
        <w:rPr>
          <w:rFonts w:hint="eastAsia" w:ascii="方正楷体_GBK" w:hAnsi="方正楷体_GBK" w:eastAsia="方正楷体_GBK" w:cs="方正楷体_GBK"/>
          <w:b w:val="0"/>
          <w:bCs w:val="0"/>
          <w:kern w:val="0"/>
          <w:lang w:val="en-US" w:eastAsia="zh-CN"/>
        </w:rPr>
        <w:t>3</w:t>
      </w:r>
      <w:r>
        <w:rPr>
          <w:rFonts w:hint="eastAsia" w:ascii="方正楷体_GBK" w:hAnsi="方正楷体_GBK" w:eastAsia="方正楷体_GBK" w:cs="方正楷体_GBK"/>
          <w:b w:val="0"/>
          <w:bCs w:val="0"/>
          <w:kern w:val="0"/>
        </w:rPr>
        <w:t xml:space="preserve"> 预案修订时间</w:t>
      </w:r>
      <w:bookmarkEnd w:id="84"/>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有下列情形之一的，本预案应当及时修订相关预案：</w:t>
      </w:r>
    </w:p>
    <w:p>
      <w:pPr>
        <w:spacing w:line="580" w:lineRule="exact"/>
        <w:ind w:firstLine="640" w:firstLineChars="200"/>
        <w:rPr>
          <w:rFonts w:hint="eastAsia" w:ascii="Times New Roman" w:hAnsi="Times New Roman" w:eastAsia="方正仿宋_GBK" w:cs="Times New Roman"/>
          <w:spacing w:val="6"/>
          <w:kern w:val="0"/>
          <w:sz w:val="32"/>
          <w:szCs w:val="32"/>
        </w:rPr>
      </w:pPr>
      <w:bookmarkStart w:id="85" w:name="_Toc12254"/>
      <w:bookmarkStart w:id="86" w:name="_Toc28868212"/>
      <w:bookmarkStart w:id="87" w:name="_Toc28868169"/>
      <w:r>
        <w:rPr>
          <w:rFonts w:hint="eastAsia" w:ascii="Times New Roman" w:hAnsi="Times New Roman" w:eastAsia="方正仿宋_GBK" w:cs="Times New Roman"/>
          <w:kern w:val="0"/>
          <w:sz w:val="32"/>
          <w:szCs w:val="32"/>
        </w:rPr>
        <w:t>（1）制</w:t>
      </w:r>
      <w:r>
        <w:rPr>
          <w:rFonts w:hint="eastAsia" w:ascii="Times New Roman" w:hAnsi="Times New Roman" w:eastAsia="方正仿宋_GBK" w:cs="Times New Roman"/>
          <w:spacing w:val="6"/>
          <w:kern w:val="0"/>
          <w:sz w:val="32"/>
          <w:szCs w:val="32"/>
        </w:rPr>
        <w:t>定预案所依据的法律、法规、规章、标准发生重大变化；</w:t>
      </w:r>
      <w:bookmarkEnd w:id="85"/>
      <w:bookmarkEnd w:id="86"/>
      <w:bookmarkEnd w:id="87"/>
    </w:p>
    <w:p>
      <w:pPr>
        <w:spacing w:line="580" w:lineRule="exact"/>
        <w:ind w:firstLine="640" w:firstLineChars="200"/>
        <w:rPr>
          <w:rFonts w:hint="eastAsia" w:ascii="Times New Roman" w:hAnsi="Times New Roman" w:eastAsia="方正仿宋_GBK" w:cs="Times New Roman"/>
          <w:kern w:val="0"/>
          <w:sz w:val="32"/>
          <w:szCs w:val="32"/>
        </w:rPr>
      </w:pPr>
      <w:bookmarkStart w:id="88" w:name="_Toc28868170"/>
      <w:bookmarkStart w:id="89" w:name="_Toc10588"/>
      <w:bookmarkStart w:id="90" w:name="_Toc28868213"/>
      <w:r>
        <w:rPr>
          <w:rFonts w:hint="eastAsia" w:ascii="Times New Roman" w:hAnsi="Times New Roman" w:eastAsia="方正仿宋_GBK" w:cs="Times New Roman"/>
          <w:kern w:val="0"/>
          <w:sz w:val="32"/>
          <w:szCs w:val="32"/>
        </w:rPr>
        <w:t>（2）应急指挥机构及其职责发生调整；</w:t>
      </w:r>
      <w:bookmarkEnd w:id="88"/>
      <w:bookmarkEnd w:id="89"/>
      <w:bookmarkEnd w:id="90"/>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（3）安全生产面临的风险发生重大变化；</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（4）重要应急资源发生重大变化；</w:t>
      </w:r>
    </w:p>
    <w:p>
      <w:pPr>
        <w:snapToGrid w:val="0"/>
        <w:spacing w:line="580" w:lineRule="exact"/>
        <w:ind w:firstLine="640" w:firstLineChars="200"/>
        <w:rPr>
          <w:rFonts w:hint="eastAsia" w:ascii="Times New Roman" w:hAnsi="Times New Roman" w:eastAsia="方正仿宋_GBK" w:cs="Times New Roman"/>
          <w:spacing w:val="6"/>
          <w:kern w:val="0"/>
          <w:sz w:val="32"/>
          <w:szCs w:val="32"/>
        </w:rPr>
      </w:pPr>
      <w:r>
        <w:rPr>
          <w:rFonts w:hint="eastAsia" w:ascii="Times New Roman" w:hAnsi="Times New Roman" w:eastAsia="方正仿宋_GBK" w:cs="Times New Roman"/>
          <w:kern w:val="0"/>
          <w:sz w:val="32"/>
          <w:szCs w:val="32"/>
        </w:rPr>
        <w:t>（5）在</w:t>
      </w:r>
      <w:r>
        <w:rPr>
          <w:rFonts w:hint="eastAsia" w:ascii="Times New Roman" w:hAnsi="Times New Roman" w:eastAsia="方正仿宋_GBK" w:cs="Times New Roman"/>
          <w:spacing w:val="6"/>
          <w:kern w:val="0"/>
          <w:sz w:val="32"/>
          <w:szCs w:val="32"/>
        </w:rPr>
        <w:t>预案演练或者应急救援中发现需要修订预案的重大问题；</w:t>
      </w:r>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（6）其他应当修订情形。</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91" w:name="_Toc28868171"/>
      <w:bookmarkStart w:id="92" w:name="_Toc4118"/>
      <w:r>
        <w:rPr>
          <w:rFonts w:hint="eastAsia" w:ascii="方正楷体_GBK" w:hAnsi="方正楷体_GBK" w:eastAsia="方正楷体_GBK" w:cs="方正楷体_GBK"/>
          <w:b w:val="0"/>
          <w:bCs w:val="0"/>
          <w:kern w:val="0"/>
        </w:rPr>
        <w:t>8.5 预案管理</w:t>
      </w:r>
      <w:bookmarkEnd w:id="91"/>
      <w:bookmarkEnd w:id="92"/>
    </w:p>
    <w:p>
      <w:pPr>
        <w:snapToGrid w:val="0"/>
        <w:spacing w:line="580" w:lineRule="exact"/>
        <w:ind w:firstLine="640" w:firstLineChars="200"/>
        <w:rPr>
          <w:rFonts w:hint="eastAsia"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本预案由县人民政府办公室发布，县发展改革委负责解释。</w:t>
      </w:r>
    </w:p>
    <w:p>
      <w:pPr>
        <w:pStyle w:val="4"/>
        <w:adjustRightInd w:val="0"/>
        <w:snapToGrid w:val="0"/>
        <w:spacing w:before="0" w:after="0" w:line="580" w:lineRule="exact"/>
        <w:rPr>
          <w:rFonts w:hint="eastAsia" w:ascii="方正楷体_GBK" w:hAnsi="方正楷体_GBK" w:eastAsia="方正楷体_GBK" w:cs="方正楷体_GBK"/>
          <w:b w:val="0"/>
          <w:bCs w:val="0"/>
          <w:kern w:val="0"/>
        </w:rPr>
      </w:pPr>
      <w:bookmarkStart w:id="93" w:name="_Toc20915"/>
      <w:r>
        <w:rPr>
          <w:rFonts w:hint="eastAsia" w:ascii="方正楷体_GBK" w:hAnsi="方正楷体_GBK" w:eastAsia="方正楷体_GBK" w:cs="方正楷体_GBK"/>
          <w:b w:val="0"/>
          <w:bCs w:val="0"/>
          <w:kern w:val="0"/>
        </w:rPr>
        <w:t>8.6 预案实施</w:t>
      </w:r>
      <w:bookmarkEnd w:id="93"/>
    </w:p>
    <w:p>
      <w:pPr>
        <w:snapToGrid w:val="0"/>
        <w:spacing w:line="580" w:lineRule="exact"/>
        <w:ind w:firstLine="640" w:firstLineChars="200"/>
        <w:rPr>
          <w:rFonts w:hint="eastAsia" w:eastAsia="方正仿宋_GBK"/>
          <w:sz w:val="32"/>
          <w:szCs w:val="32"/>
        </w:rPr>
        <w:sectPr>
          <w:headerReference r:id="rId6" w:type="default"/>
          <w:footerReference r:id="rId7" w:type="default"/>
          <w:pgSz w:w="11906" w:h="16838"/>
          <w:pgMar w:top="1984" w:right="1531" w:bottom="1701" w:left="1531" w:header="851" w:footer="1417" w:gutter="0"/>
          <w:pgNumType w:fmt="numberInDash" w:start="1"/>
          <w:cols w:space="720" w:num="1"/>
          <w:docGrid w:linePitch="435" w:charSpace="0"/>
        </w:sectPr>
      </w:pPr>
      <w:r>
        <w:rPr>
          <w:rFonts w:hint="eastAsia" w:ascii="Times New Roman" w:hAnsi="Times New Roman" w:eastAsia="方正仿宋_GBK" w:cs="Times New Roman"/>
          <w:kern w:val="0"/>
          <w:sz w:val="32"/>
          <w:szCs w:val="32"/>
        </w:rPr>
        <w:t>本预案自发布之日起实施，本预案</w:t>
      </w:r>
      <w:r>
        <w:rPr>
          <w:rFonts w:hint="eastAsia" w:ascii="Times New Roman" w:hAnsi="Times New Roman" w:eastAsia="方正仿宋_GBK" w:cs="Times New Roman"/>
          <w:kern w:val="0"/>
          <w:sz w:val="32"/>
          <w:szCs w:val="32"/>
          <w:lang w:val="en-US" w:eastAsia="zh-CN"/>
        </w:rPr>
        <w:t>发布及实施日：</w:t>
      </w:r>
      <w:r>
        <w:rPr>
          <w:rFonts w:ascii="方正仿宋_GBK" w:hAnsi="Times New Roman" w:eastAsia="方正仿宋_GBK" w:cs="Times New Roman"/>
          <w:snapToGrid w:val="0"/>
          <w:kern w:val="0"/>
          <w:sz w:val="32"/>
          <w:szCs w:val="32"/>
        </w:rPr>
        <w:t>20</w:t>
      </w:r>
      <w:r>
        <w:rPr>
          <w:rFonts w:hint="eastAsia" w:ascii="方正仿宋_GBK" w:hAnsi="Times New Roman" w:eastAsia="方正仿宋_GBK" w:cs="Times New Roman"/>
          <w:snapToGrid w:val="0"/>
          <w:kern w:val="0"/>
          <w:sz w:val="32"/>
          <w:szCs w:val="32"/>
          <w:lang w:val="en-US" w:eastAsia="zh-CN"/>
        </w:rPr>
        <w:t>23</w:t>
      </w:r>
      <w:r>
        <w:rPr>
          <w:rFonts w:hint="eastAsia" w:ascii="方正仿宋_GBK" w:hAnsi="Times New Roman" w:eastAsia="方正仿宋_GBK" w:cs="Times New Roman"/>
          <w:snapToGrid w:val="0"/>
          <w:kern w:val="0"/>
          <w:sz w:val="32"/>
          <w:szCs w:val="32"/>
        </w:rPr>
        <w:t>年</w:t>
      </w:r>
      <w:r>
        <w:rPr>
          <w:rFonts w:hint="eastAsia" w:ascii="方正仿宋_GBK" w:hAnsi="Times New Roman" w:eastAsia="方正仿宋_GBK" w:cs="Times New Roman"/>
          <w:snapToGrid w:val="0"/>
          <w:kern w:val="0"/>
          <w:sz w:val="32"/>
          <w:szCs w:val="32"/>
          <w:lang w:val="en-US" w:eastAsia="zh-CN"/>
        </w:rPr>
        <w:t>3</w:t>
      </w:r>
      <w:r>
        <w:rPr>
          <w:rFonts w:hint="eastAsia" w:ascii="方正仿宋_GBK" w:hAnsi="Times New Roman" w:eastAsia="方正仿宋_GBK" w:cs="Times New Roman"/>
          <w:snapToGrid w:val="0"/>
          <w:kern w:val="0"/>
          <w:sz w:val="32"/>
          <w:szCs w:val="32"/>
        </w:rPr>
        <w:t>月</w:t>
      </w:r>
      <w:r>
        <w:rPr>
          <w:rFonts w:hint="eastAsia" w:ascii="方正仿宋_GBK" w:hAnsi="Times New Roman" w:eastAsia="方正仿宋_GBK" w:cs="Times New Roman"/>
          <w:snapToGrid w:val="0"/>
          <w:kern w:val="0"/>
          <w:sz w:val="32"/>
          <w:szCs w:val="32"/>
          <w:lang w:val="en-US" w:eastAsia="zh-CN"/>
        </w:rPr>
        <w:t>15</w:t>
      </w:r>
      <w:r>
        <w:rPr>
          <w:rFonts w:hint="eastAsia" w:ascii="方正仿宋_GBK" w:hAnsi="Times New Roman" w:eastAsia="方正仿宋_GBK" w:cs="Times New Roman"/>
          <w:snapToGrid w:val="0"/>
          <w:kern w:val="0"/>
          <w:sz w:val="32"/>
          <w:szCs w:val="32"/>
        </w:rPr>
        <w:t>日起施行《重庆市石柱县天然气长输管道事故应急预案》同止。</w:t>
      </w:r>
    </w:p>
    <w:p>
      <w:pPr>
        <w:keepNext/>
        <w:keepLines/>
        <w:snapToGrid w:val="0"/>
        <w:spacing w:line="560" w:lineRule="exact"/>
        <w:outlineLvl w:val="0"/>
        <w:rPr>
          <w:rFonts w:ascii="Times New Roman" w:hAnsi="Times New Roman" w:eastAsia="方正黑体_GBK" w:cs="Times New Roman"/>
          <w:kern w:val="0"/>
          <w:sz w:val="32"/>
          <w:szCs w:val="20"/>
        </w:rPr>
      </w:pPr>
      <w:bookmarkStart w:id="94" w:name="_Toc892"/>
      <w:r>
        <w:rPr>
          <w:rFonts w:hint="eastAsia" w:ascii="Times New Roman" w:hAnsi="Times New Roman" w:eastAsia="方正黑体_GBK" w:cs="Times New Roman"/>
          <w:kern w:val="0"/>
          <w:sz w:val="32"/>
          <w:szCs w:val="20"/>
        </w:rPr>
        <w:t xml:space="preserve">9 </w:t>
      </w:r>
      <w:r>
        <w:rPr>
          <w:rFonts w:ascii="Times New Roman" w:hAnsi="Times New Roman" w:eastAsia="方正黑体_GBK" w:cs="Times New Roman"/>
          <w:kern w:val="0"/>
          <w:sz w:val="32"/>
          <w:szCs w:val="20"/>
        </w:rPr>
        <w:t>附件</w:t>
      </w:r>
      <w:bookmarkEnd w:id="94"/>
    </w:p>
    <w:p>
      <w:pPr>
        <w:pStyle w:val="4"/>
        <w:adjustRightInd w:val="0"/>
        <w:snapToGrid w:val="0"/>
        <w:spacing w:before="0" w:after="0" w:line="560" w:lineRule="exact"/>
        <w:jc w:val="center"/>
        <w:rPr>
          <w:rFonts w:hint="eastAsia" w:ascii="方正楷体_GBK" w:hAnsi="方正楷体_GBK" w:eastAsia="方正楷体_GBK" w:cs="方正楷体_GBK"/>
          <w:b w:val="0"/>
          <w:bCs w:val="0"/>
          <w:kern w:val="0"/>
        </w:rPr>
      </w:pPr>
      <w:bookmarkStart w:id="95" w:name="_Toc14000"/>
      <w:bookmarkStart w:id="96" w:name="_Toc28868172"/>
      <w:r>
        <w:rPr>
          <w:rFonts w:hint="eastAsia" w:ascii="方正楷体_GBK" w:hAnsi="方正楷体_GBK" w:eastAsia="方正楷体_GBK" w:cs="方正楷体_GBK"/>
          <w:b w:val="0"/>
          <w:bCs w:val="0"/>
          <w:kern w:val="0"/>
        </w:rPr>
        <w:t>9.1  石柱县油气长输管道基本情况表</w:t>
      </w:r>
      <w:bookmarkEnd w:id="95"/>
      <w:bookmarkEnd w:id="96"/>
    </w:p>
    <w:tbl>
      <w:tblPr>
        <w:tblStyle w:val="12"/>
        <w:tblW w:w="14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80"/>
        <w:gridCol w:w="1876"/>
        <w:gridCol w:w="2301"/>
        <w:gridCol w:w="1199"/>
        <w:gridCol w:w="765"/>
        <w:gridCol w:w="1132"/>
        <w:gridCol w:w="1140"/>
        <w:gridCol w:w="1135"/>
        <w:gridCol w:w="2427"/>
        <w:gridCol w:w="2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580" w:type="dxa"/>
            <w:vMerge w:val="restart"/>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bookmarkStart w:id="97" w:name="_Hlk104711344"/>
            <w:r>
              <w:rPr>
                <w:rFonts w:hint="eastAsia" w:ascii="方正黑体_GBK" w:hAnsi="Times New Roman" w:eastAsia="方正黑体_GBK" w:cs="Times New Roman"/>
                <w:bCs/>
                <w:color w:val="000000"/>
                <w:kern w:val="0"/>
                <w:sz w:val="24"/>
                <w:szCs w:val="24"/>
              </w:rPr>
              <w:t>序号</w:t>
            </w:r>
          </w:p>
        </w:tc>
        <w:tc>
          <w:tcPr>
            <w:tcW w:w="1876" w:type="dxa"/>
            <w:vMerge w:val="restart"/>
            <w:noWrap w:val="0"/>
            <w:vAlign w:val="center"/>
          </w:tcPr>
          <w:p>
            <w:pPr>
              <w:spacing w:line="320" w:lineRule="exact"/>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企业名称</w:t>
            </w:r>
          </w:p>
        </w:tc>
        <w:tc>
          <w:tcPr>
            <w:tcW w:w="2301" w:type="dxa"/>
            <w:vMerge w:val="restart"/>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企业地址</w:t>
            </w:r>
          </w:p>
        </w:tc>
        <w:tc>
          <w:tcPr>
            <w:tcW w:w="1199" w:type="dxa"/>
            <w:vMerge w:val="restart"/>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管道名称</w:t>
            </w:r>
          </w:p>
        </w:tc>
        <w:tc>
          <w:tcPr>
            <w:tcW w:w="765" w:type="dxa"/>
            <w:vMerge w:val="restart"/>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类别</w:t>
            </w:r>
          </w:p>
        </w:tc>
        <w:tc>
          <w:tcPr>
            <w:tcW w:w="1132" w:type="dxa"/>
            <w:vMerge w:val="restart"/>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管径/管壁厚度</w:t>
            </w:r>
            <w:r>
              <w:rPr>
                <w:rFonts w:hint="eastAsia" w:ascii="方正黑体_GBK" w:hAnsi="Times New Roman" w:eastAsia="方正黑体_GBK" w:cs="Times New Roman"/>
                <w:bCs/>
                <w:color w:val="000000"/>
                <w:kern w:val="0"/>
                <w:sz w:val="24"/>
                <w:szCs w:val="24"/>
                <w:lang w:eastAsia="zh-CN"/>
              </w:rPr>
              <w:t>(</w:t>
            </w:r>
            <w:r>
              <w:rPr>
                <w:rFonts w:hint="eastAsia" w:ascii="方正黑体_GBK" w:hAnsi="Times New Roman" w:eastAsia="方正黑体_GBK" w:cs="Times New Roman"/>
                <w:bCs/>
                <w:color w:val="000000"/>
                <w:kern w:val="0"/>
                <w:sz w:val="24"/>
                <w:szCs w:val="24"/>
              </w:rPr>
              <w:t>mm)</w:t>
            </w:r>
          </w:p>
        </w:tc>
        <w:tc>
          <w:tcPr>
            <w:tcW w:w="1140" w:type="dxa"/>
            <w:vMerge w:val="restart"/>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运行/设计压力</w:t>
            </w:r>
            <w:r>
              <w:rPr>
                <w:rFonts w:hint="eastAsia" w:ascii="方正黑体_GBK" w:hAnsi="Times New Roman" w:eastAsia="方正黑体_GBK" w:cs="Times New Roman"/>
                <w:bCs/>
                <w:color w:val="000000"/>
                <w:kern w:val="0"/>
                <w:sz w:val="24"/>
                <w:szCs w:val="24"/>
                <w:lang w:eastAsia="zh-CN"/>
              </w:rPr>
              <w:t>(</w:t>
            </w:r>
            <w:r>
              <w:rPr>
                <w:rFonts w:hint="eastAsia" w:ascii="方正黑体_GBK" w:hAnsi="Times New Roman" w:eastAsia="方正黑体_GBK" w:cs="Times New Roman"/>
                <w:bCs/>
                <w:color w:val="000000"/>
                <w:kern w:val="0"/>
                <w:sz w:val="24"/>
                <w:szCs w:val="24"/>
              </w:rPr>
              <w:t>Mpa)</w:t>
            </w:r>
          </w:p>
        </w:tc>
        <w:tc>
          <w:tcPr>
            <w:tcW w:w="1135" w:type="dxa"/>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管线长度</w:t>
            </w:r>
            <w:r>
              <w:rPr>
                <w:rFonts w:hint="eastAsia" w:ascii="方正黑体_GBK" w:hAnsi="Times New Roman" w:eastAsia="方正黑体_GBK" w:cs="Times New Roman"/>
                <w:bCs/>
                <w:color w:val="000000"/>
                <w:kern w:val="0"/>
                <w:sz w:val="24"/>
                <w:szCs w:val="24"/>
                <w:lang w:eastAsia="zh-CN"/>
              </w:rPr>
              <w:t>(</w:t>
            </w:r>
            <w:r>
              <w:rPr>
                <w:rFonts w:hint="eastAsia" w:ascii="方正黑体_GBK" w:hAnsi="Times New Roman" w:eastAsia="方正黑体_GBK" w:cs="Times New Roman"/>
                <w:bCs/>
                <w:color w:val="000000"/>
                <w:kern w:val="0"/>
                <w:sz w:val="24"/>
                <w:szCs w:val="24"/>
              </w:rPr>
              <w:t>Km)</w:t>
            </w:r>
          </w:p>
        </w:tc>
        <w:tc>
          <w:tcPr>
            <w:tcW w:w="2427" w:type="dxa"/>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起止地址及途经乡镇</w:t>
            </w:r>
          </w:p>
        </w:tc>
        <w:tc>
          <w:tcPr>
            <w:tcW w:w="2103" w:type="dxa"/>
            <w:vMerge w:val="restart"/>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涉及站场阀室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580" w:type="dxa"/>
            <w:vMerge w:val="continue"/>
            <w:noWrap w:val="0"/>
            <w:vAlign w:val="center"/>
          </w:tcPr>
          <w:p>
            <w:pPr>
              <w:spacing w:line="320" w:lineRule="exact"/>
              <w:jc w:val="left"/>
              <w:rPr>
                <w:rFonts w:hint="eastAsia" w:ascii="方正黑体_GBK" w:hAnsi="Times New Roman" w:eastAsia="方正黑体_GBK" w:cs="Times New Roman"/>
                <w:b/>
                <w:bCs/>
                <w:color w:val="000000"/>
                <w:kern w:val="0"/>
                <w:sz w:val="24"/>
                <w:szCs w:val="24"/>
              </w:rPr>
            </w:pPr>
          </w:p>
        </w:tc>
        <w:tc>
          <w:tcPr>
            <w:tcW w:w="1876" w:type="dxa"/>
            <w:vMerge w:val="continue"/>
            <w:noWrap w:val="0"/>
            <w:vAlign w:val="center"/>
          </w:tcPr>
          <w:p>
            <w:pPr>
              <w:spacing w:line="320" w:lineRule="exact"/>
              <w:rPr>
                <w:rFonts w:hint="eastAsia" w:ascii="方正黑体_GBK" w:hAnsi="Times New Roman" w:eastAsia="方正黑体_GBK" w:cs="Times New Roman"/>
                <w:b/>
                <w:bCs/>
                <w:color w:val="000000"/>
                <w:kern w:val="0"/>
                <w:sz w:val="24"/>
                <w:szCs w:val="24"/>
              </w:rPr>
            </w:pPr>
          </w:p>
        </w:tc>
        <w:tc>
          <w:tcPr>
            <w:tcW w:w="2301" w:type="dxa"/>
            <w:vMerge w:val="continue"/>
            <w:noWrap w:val="0"/>
            <w:vAlign w:val="center"/>
          </w:tcPr>
          <w:p>
            <w:pPr>
              <w:spacing w:line="320" w:lineRule="exact"/>
              <w:rPr>
                <w:rFonts w:hint="eastAsia" w:ascii="方正黑体_GBK" w:hAnsi="Times New Roman" w:eastAsia="方正黑体_GBK" w:cs="Times New Roman"/>
                <w:b/>
                <w:bCs/>
                <w:color w:val="000000"/>
                <w:kern w:val="0"/>
                <w:sz w:val="24"/>
                <w:szCs w:val="24"/>
              </w:rPr>
            </w:pPr>
          </w:p>
        </w:tc>
        <w:tc>
          <w:tcPr>
            <w:tcW w:w="1199" w:type="dxa"/>
            <w:vMerge w:val="continue"/>
            <w:noWrap w:val="0"/>
            <w:vAlign w:val="center"/>
          </w:tcPr>
          <w:p>
            <w:pPr>
              <w:spacing w:line="320" w:lineRule="exact"/>
              <w:jc w:val="left"/>
              <w:rPr>
                <w:rFonts w:hint="eastAsia" w:ascii="方正黑体_GBK" w:hAnsi="Times New Roman" w:eastAsia="方正黑体_GBK" w:cs="Times New Roman"/>
                <w:b/>
                <w:bCs/>
                <w:color w:val="000000"/>
                <w:kern w:val="0"/>
                <w:sz w:val="24"/>
                <w:szCs w:val="24"/>
              </w:rPr>
            </w:pPr>
          </w:p>
        </w:tc>
        <w:tc>
          <w:tcPr>
            <w:tcW w:w="765" w:type="dxa"/>
            <w:vMerge w:val="continue"/>
            <w:noWrap w:val="0"/>
            <w:vAlign w:val="center"/>
          </w:tcPr>
          <w:p>
            <w:pPr>
              <w:spacing w:line="320" w:lineRule="exact"/>
              <w:jc w:val="left"/>
              <w:rPr>
                <w:rFonts w:hint="eastAsia" w:ascii="方正黑体_GBK" w:hAnsi="Times New Roman" w:eastAsia="方正黑体_GBK" w:cs="Times New Roman"/>
                <w:b/>
                <w:bCs/>
                <w:color w:val="000000"/>
                <w:kern w:val="0"/>
                <w:sz w:val="24"/>
                <w:szCs w:val="24"/>
              </w:rPr>
            </w:pPr>
          </w:p>
        </w:tc>
        <w:tc>
          <w:tcPr>
            <w:tcW w:w="1132" w:type="dxa"/>
            <w:vMerge w:val="continue"/>
            <w:noWrap w:val="0"/>
            <w:vAlign w:val="center"/>
          </w:tcPr>
          <w:p>
            <w:pPr>
              <w:spacing w:line="320" w:lineRule="exact"/>
              <w:jc w:val="left"/>
              <w:rPr>
                <w:rFonts w:hint="eastAsia" w:ascii="方正黑体_GBK" w:hAnsi="Times New Roman" w:eastAsia="方正黑体_GBK" w:cs="Times New Roman"/>
                <w:b/>
                <w:bCs/>
                <w:color w:val="000000"/>
                <w:kern w:val="0"/>
                <w:sz w:val="24"/>
                <w:szCs w:val="24"/>
              </w:rPr>
            </w:pPr>
          </w:p>
        </w:tc>
        <w:tc>
          <w:tcPr>
            <w:tcW w:w="1140" w:type="dxa"/>
            <w:vMerge w:val="continue"/>
            <w:noWrap w:val="0"/>
            <w:vAlign w:val="center"/>
          </w:tcPr>
          <w:p>
            <w:pPr>
              <w:spacing w:line="320" w:lineRule="exact"/>
              <w:jc w:val="left"/>
              <w:rPr>
                <w:rFonts w:hint="eastAsia" w:ascii="方正黑体_GBK" w:hAnsi="Times New Roman" w:eastAsia="方正黑体_GBK" w:cs="Times New Roman"/>
                <w:b/>
                <w:bCs/>
                <w:color w:val="000000"/>
                <w:kern w:val="0"/>
                <w:sz w:val="24"/>
                <w:szCs w:val="24"/>
              </w:rPr>
            </w:pPr>
          </w:p>
        </w:tc>
        <w:tc>
          <w:tcPr>
            <w:tcW w:w="1135" w:type="dxa"/>
            <w:noWrap w:val="0"/>
            <w:vAlign w:val="center"/>
          </w:tcPr>
          <w:p>
            <w:pPr>
              <w:spacing w:line="320" w:lineRule="exact"/>
              <w:jc w:val="center"/>
              <w:rPr>
                <w:rFonts w:hint="eastAsia" w:ascii="方正黑体_GBK" w:hAnsi="Times New Roman" w:eastAsia="方正黑体_GBK" w:cs="Times New Roman"/>
                <w:bCs/>
                <w:color w:val="000000"/>
                <w:kern w:val="0"/>
                <w:sz w:val="24"/>
                <w:szCs w:val="24"/>
              </w:rPr>
            </w:pPr>
            <w:r>
              <w:rPr>
                <w:rFonts w:hint="eastAsia" w:ascii="方正黑体_GBK" w:hAnsi="Times New Roman" w:eastAsia="方正黑体_GBK" w:cs="Times New Roman"/>
                <w:bCs/>
                <w:color w:val="000000"/>
                <w:kern w:val="0"/>
                <w:sz w:val="24"/>
                <w:szCs w:val="24"/>
              </w:rPr>
              <w:t>石柱县</w:t>
            </w:r>
          </w:p>
        </w:tc>
        <w:tc>
          <w:tcPr>
            <w:tcW w:w="2427" w:type="dxa"/>
            <w:noWrap w:val="0"/>
            <w:vAlign w:val="center"/>
          </w:tcPr>
          <w:p>
            <w:pPr>
              <w:spacing w:line="320" w:lineRule="exact"/>
              <w:jc w:val="center"/>
              <w:rPr>
                <w:rFonts w:hint="eastAsia" w:ascii="方正黑体_GBK" w:hAnsi="Times New Roman" w:eastAsia="方正黑体_GBK" w:cs="Times New Roman"/>
                <w:b/>
                <w:bCs/>
                <w:color w:val="000000"/>
                <w:kern w:val="0"/>
                <w:sz w:val="24"/>
                <w:szCs w:val="24"/>
              </w:rPr>
            </w:pPr>
            <w:r>
              <w:rPr>
                <w:rFonts w:hint="eastAsia" w:ascii="方正黑体_GBK" w:hAnsi="Times New Roman" w:eastAsia="方正黑体_GBK" w:cs="Times New Roman"/>
                <w:bCs/>
                <w:color w:val="000000"/>
                <w:kern w:val="0"/>
                <w:sz w:val="24"/>
                <w:szCs w:val="24"/>
              </w:rPr>
              <w:t>石柱县</w:t>
            </w:r>
          </w:p>
        </w:tc>
        <w:tc>
          <w:tcPr>
            <w:tcW w:w="2103" w:type="dxa"/>
            <w:vMerge w:val="continue"/>
            <w:noWrap w:val="0"/>
            <w:vAlign w:val="center"/>
          </w:tcPr>
          <w:p>
            <w:pPr>
              <w:spacing w:line="320" w:lineRule="exact"/>
              <w:rPr>
                <w:rFonts w:hint="eastAsia" w:ascii="方正仿宋_GBK" w:hAnsi="Times New Roman" w:eastAsia="方正仿宋_GBK" w:cs="Times New Roman"/>
                <w:b/>
                <w:bCs/>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580"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1</w:t>
            </w:r>
          </w:p>
        </w:tc>
        <w:tc>
          <w:tcPr>
            <w:tcW w:w="1876"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国家管网集团川气东送天然气管道公司</w:t>
            </w:r>
          </w:p>
        </w:tc>
        <w:tc>
          <w:tcPr>
            <w:tcW w:w="2301"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重庆市梁平区合兴街道石桥社区梁平输气站。主管石柱忠县线路的分队：忠县黄金镇班竹村黄金压气站。</w:t>
            </w:r>
          </w:p>
        </w:tc>
        <w:tc>
          <w:tcPr>
            <w:tcW w:w="1199"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川气东送管线</w:t>
            </w:r>
          </w:p>
        </w:tc>
        <w:tc>
          <w:tcPr>
            <w:tcW w:w="765"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kern w:val="0"/>
                <w:sz w:val="24"/>
                <w:szCs w:val="24"/>
              </w:rPr>
              <w:t>输天然气</w:t>
            </w:r>
          </w:p>
        </w:tc>
        <w:tc>
          <w:tcPr>
            <w:tcW w:w="1132" w:type="dxa"/>
            <w:noWrap w:val="0"/>
            <w:vAlign w:val="center"/>
          </w:tcPr>
          <w:p>
            <w:pPr>
              <w:spacing w:line="320" w:lineRule="exact"/>
              <w:jc w:val="center"/>
              <w:rPr>
                <w:rFonts w:hint="eastAsia" w:ascii="方正仿宋_GBK" w:hAnsi="Times New Roman" w:eastAsia="方正仿宋_GBK" w:cs="Times New Roman"/>
                <w:bCs/>
                <w:color w:val="000000"/>
                <w:kern w:val="0"/>
                <w:sz w:val="24"/>
                <w:szCs w:val="24"/>
              </w:rPr>
            </w:pPr>
            <w:r>
              <w:rPr>
                <w:rFonts w:hint="eastAsia" w:ascii="方正仿宋_GBK" w:hAnsi="Times New Roman" w:eastAsia="方正仿宋_GBK" w:cs="Times New Roman"/>
                <w:bCs/>
                <w:color w:val="000000"/>
                <w:kern w:val="0"/>
                <w:sz w:val="24"/>
                <w:szCs w:val="24"/>
              </w:rPr>
              <w:t>管径</w:t>
            </w:r>
          </w:p>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1016</w:t>
            </w:r>
            <w:r>
              <w:rPr>
                <w:rFonts w:hint="eastAsia" w:ascii="方正仿宋_GBK" w:hAnsi="Times New Roman" w:eastAsia="方正仿宋_GBK" w:cs="Times New Roman"/>
                <w:bCs/>
                <w:color w:val="000000"/>
                <w:kern w:val="0"/>
                <w:sz w:val="24"/>
                <w:szCs w:val="24"/>
              </w:rPr>
              <w:t xml:space="preserve"> mm</w:t>
            </w:r>
          </w:p>
        </w:tc>
        <w:tc>
          <w:tcPr>
            <w:tcW w:w="1140"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 xml:space="preserve">10 </w:t>
            </w:r>
            <w:r>
              <w:rPr>
                <w:rFonts w:hint="eastAsia" w:ascii="方正仿宋_GBK" w:hAnsi="Times New Roman" w:eastAsia="方正仿宋_GBK" w:cs="Times New Roman"/>
                <w:bCs/>
                <w:color w:val="000000"/>
                <w:kern w:val="0"/>
                <w:sz w:val="24"/>
                <w:szCs w:val="24"/>
              </w:rPr>
              <w:t>Mpa</w:t>
            </w:r>
          </w:p>
        </w:tc>
        <w:tc>
          <w:tcPr>
            <w:tcW w:w="1135"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52.8</w:t>
            </w:r>
            <w:r>
              <w:rPr>
                <w:rFonts w:hint="eastAsia" w:ascii="方正仿宋_GBK" w:hAnsi="Times New Roman" w:eastAsia="方正仿宋_GBK" w:cs="Times New Roman"/>
                <w:bCs/>
                <w:color w:val="000000"/>
                <w:kern w:val="0"/>
                <w:sz w:val="24"/>
                <w:szCs w:val="24"/>
              </w:rPr>
              <w:t xml:space="preserve"> Km</w:t>
            </w:r>
          </w:p>
        </w:tc>
        <w:tc>
          <w:tcPr>
            <w:tcW w:w="2427"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途经6个乡镇16个村44个组（黎场乡→王场镇→鱼池镇→石家乡→黄水镇→枫木镇）。</w:t>
            </w:r>
          </w:p>
        </w:tc>
        <w:tc>
          <w:tcPr>
            <w:tcW w:w="2103"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有3个阀室，分别位于黎场乡、王场镇、黄水镇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580"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2</w:t>
            </w:r>
          </w:p>
        </w:tc>
        <w:tc>
          <w:tcPr>
            <w:tcW w:w="1876"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国家管网集团重庆天然气管道有限责任公司</w:t>
            </w:r>
          </w:p>
        </w:tc>
        <w:tc>
          <w:tcPr>
            <w:tcW w:w="2301"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重庆市南岸区学苑路1号天誉智慧城</w:t>
            </w:r>
          </w:p>
        </w:tc>
        <w:tc>
          <w:tcPr>
            <w:tcW w:w="1199"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涪陵—王场页岩气管线</w:t>
            </w:r>
          </w:p>
        </w:tc>
        <w:tc>
          <w:tcPr>
            <w:tcW w:w="765"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kern w:val="0"/>
                <w:sz w:val="24"/>
                <w:szCs w:val="24"/>
              </w:rPr>
              <w:t>输天然气</w:t>
            </w:r>
          </w:p>
        </w:tc>
        <w:tc>
          <w:tcPr>
            <w:tcW w:w="1132" w:type="dxa"/>
            <w:noWrap w:val="0"/>
            <w:vAlign w:val="center"/>
          </w:tcPr>
          <w:p>
            <w:pPr>
              <w:spacing w:line="320" w:lineRule="exact"/>
              <w:jc w:val="center"/>
              <w:rPr>
                <w:rFonts w:hint="eastAsia" w:ascii="方正仿宋_GBK" w:hAnsi="Times New Roman" w:eastAsia="方正仿宋_GBK" w:cs="Times New Roman"/>
                <w:bCs/>
                <w:color w:val="000000"/>
                <w:kern w:val="0"/>
                <w:sz w:val="24"/>
                <w:szCs w:val="24"/>
              </w:rPr>
            </w:pPr>
            <w:r>
              <w:rPr>
                <w:rFonts w:hint="eastAsia" w:ascii="方正仿宋_GBK" w:hAnsi="Times New Roman" w:eastAsia="方正仿宋_GBK" w:cs="Times New Roman"/>
                <w:bCs/>
                <w:color w:val="000000"/>
                <w:kern w:val="0"/>
                <w:sz w:val="24"/>
                <w:szCs w:val="24"/>
              </w:rPr>
              <w:t>管径</w:t>
            </w:r>
          </w:p>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1016</w:t>
            </w:r>
            <w:r>
              <w:rPr>
                <w:rFonts w:hint="eastAsia" w:ascii="方正仿宋_GBK" w:hAnsi="Times New Roman" w:eastAsia="方正仿宋_GBK" w:cs="Times New Roman"/>
                <w:bCs/>
                <w:color w:val="000000"/>
                <w:kern w:val="0"/>
                <w:sz w:val="24"/>
                <w:szCs w:val="24"/>
              </w:rPr>
              <w:t xml:space="preserve"> mm</w:t>
            </w:r>
          </w:p>
        </w:tc>
        <w:tc>
          <w:tcPr>
            <w:tcW w:w="1140"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 xml:space="preserve">10 </w:t>
            </w:r>
            <w:r>
              <w:rPr>
                <w:rFonts w:hint="eastAsia" w:ascii="方正仿宋_GBK" w:hAnsi="Times New Roman" w:eastAsia="方正仿宋_GBK" w:cs="Times New Roman"/>
                <w:bCs/>
                <w:color w:val="000000"/>
                <w:kern w:val="0"/>
                <w:sz w:val="24"/>
                <w:szCs w:val="24"/>
              </w:rPr>
              <w:t>Mpa</w:t>
            </w:r>
          </w:p>
        </w:tc>
        <w:tc>
          <w:tcPr>
            <w:tcW w:w="1135"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20.18</w:t>
            </w:r>
            <w:r>
              <w:rPr>
                <w:rFonts w:hint="eastAsia" w:ascii="方正仿宋_GBK" w:hAnsi="Times New Roman" w:eastAsia="方正仿宋_GBK" w:cs="Times New Roman"/>
                <w:bCs/>
                <w:color w:val="000000"/>
                <w:kern w:val="0"/>
                <w:sz w:val="24"/>
                <w:szCs w:val="24"/>
              </w:rPr>
              <w:t xml:space="preserve"> Km</w:t>
            </w:r>
          </w:p>
        </w:tc>
        <w:tc>
          <w:tcPr>
            <w:tcW w:w="2427"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途经3个乡镇8个村29个组（沿溪镇→万朝镇→王场镇）。</w:t>
            </w:r>
          </w:p>
        </w:tc>
        <w:tc>
          <w:tcPr>
            <w:tcW w:w="2103"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有1个作业区位于王场镇</w:t>
            </w:r>
            <w:r>
              <w:rPr>
                <w:rFonts w:hint="eastAsia" w:ascii="方正仿宋_GBK" w:hAnsi="Times New Roman" w:eastAsia="方正仿宋_GBK" w:cs="Times New Roman"/>
                <w:color w:val="000000"/>
                <w:kern w:val="0"/>
                <w:sz w:val="24"/>
                <w:szCs w:val="24"/>
                <w:lang w:eastAsia="zh-CN"/>
              </w:rPr>
              <w:t>，</w:t>
            </w:r>
            <w:r>
              <w:rPr>
                <w:rFonts w:hint="eastAsia" w:ascii="方正仿宋_GBK" w:hAnsi="Times New Roman" w:eastAsia="方正仿宋_GBK" w:cs="Times New Roman"/>
                <w:color w:val="000000"/>
                <w:kern w:val="0"/>
                <w:sz w:val="24"/>
                <w:szCs w:val="24"/>
              </w:rPr>
              <w:t>有1个阀室位于万朝镇。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580"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3</w:t>
            </w:r>
          </w:p>
        </w:tc>
        <w:tc>
          <w:tcPr>
            <w:tcW w:w="1876"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国家管网集团西气东输管道公司武汉输气分公司</w:t>
            </w:r>
          </w:p>
        </w:tc>
        <w:tc>
          <w:tcPr>
            <w:tcW w:w="2301"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忠县忠州镇灯树居委忠县分输站。</w:t>
            </w:r>
          </w:p>
        </w:tc>
        <w:tc>
          <w:tcPr>
            <w:tcW w:w="1199"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川气东送管线</w:t>
            </w:r>
          </w:p>
        </w:tc>
        <w:tc>
          <w:tcPr>
            <w:tcW w:w="765"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kern w:val="0"/>
                <w:sz w:val="24"/>
                <w:szCs w:val="24"/>
              </w:rPr>
              <w:t>输天然气</w:t>
            </w:r>
          </w:p>
        </w:tc>
        <w:tc>
          <w:tcPr>
            <w:tcW w:w="1132" w:type="dxa"/>
            <w:noWrap w:val="0"/>
            <w:vAlign w:val="center"/>
          </w:tcPr>
          <w:p>
            <w:pPr>
              <w:spacing w:line="320" w:lineRule="exact"/>
              <w:jc w:val="center"/>
              <w:rPr>
                <w:rFonts w:hint="eastAsia" w:ascii="方正仿宋_GBK" w:hAnsi="Times New Roman" w:eastAsia="方正仿宋_GBK" w:cs="Times New Roman"/>
                <w:bCs/>
                <w:color w:val="000000"/>
                <w:kern w:val="0"/>
                <w:sz w:val="24"/>
                <w:szCs w:val="24"/>
              </w:rPr>
            </w:pPr>
            <w:r>
              <w:rPr>
                <w:rFonts w:hint="eastAsia" w:ascii="方正仿宋_GBK" w:hAnsi="Times New Roman" w:eastAsia="方正仿宋_GBK" w:cs="Times New Roman"/>
                <w:bCs/>
                <w:color w:val="000000"/>
                <w:kern w:val="0"/>
                <w:sz w:val="24"/>
                <w:szCs w:val="24"/>
              </w:rPr>
              <w:t>管径</w:t>
            </w:r>
          </w:p>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711</w:t>
            </w:r>
            <w:r>
              <w:rPr>
                <w:rFonts w:hint="eastAsia" w:ascii="方正仿宋_GBK" w:hAnsi="Times New Roman" w:eastAsia="方正仿宋_GBK" w:cs="Times New Roman"/>
                <w:bCs/>
                <w:color w:val="000000"/>
                <w:kern w:val="0"/>
                <w:sz w:val="24"/>
                <w:szCs w:val="24"/>
              </w:rPr>
              <w:t xml:space="preserve"> mm</w:t>
            </w:r>
          </w:p>
        </w:tc>
        <w:tc>
          <w:tcPr>
            <w:tcW w:w="1140"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 xml:space="preserve">7 </w:t>
            </w:r>
            <w:r>
              <w:rPr>
                <w:rFonts w:hint="eastAsia" w:ascii="方正仿宋_GBK" w:hAnsi="Times New Roman" w:eastAsia="方正仿宋_GBK" w:cs="Times New Roman"/>
                <w:bCs/>
                <w:color w:val="000000"/>
                <w:kern w:val="0"/>
                <w:sz w:val="24"/>
                <w:szCs w:val="24"/>
              </w:rPr>
              <w:t>Mpa</w:t>
            </w:r>
          </w:p>
        </w:tc>
        <w:tc>
          <w:tcPr>
            <w:tcW w:w="1135"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49.4</w:t>
            </w:r>
            <w:r>
              <w:rPr>
                <w:rFonts w:hint="eastAsia" w:ascii="方正仿宋_GBK" w:hAnsi="Times New Roman" w:eastAsia="方正仿宋_GBK" w:cs="Times New Roman"/>
                <w:bCs/>
                <w:color w:val="000000"/>
                <w:kern w:val="0"/>
                <w:sz w:val="24"/>
                <w:szCs w:val="24"/>
              </w:rPr>
              <w:t xml:space="preserve"> Km</w:t>
            </w:r>
          </w:p>
        </w:tc>
        <w:tc>
          <w:tcPr>
            <w:tcW w:w="2427"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途经5个乡镇13个村31个组（沿溪镇→鱼池镇→石家乡→黄水镇→枫木镇）。</w:t>
            </w:r>
          </w:p>
        </w:tc>
        <w:tc>
          <w:tcPr>
            <w:tcW w:w="2103"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有2个阀室，1个位于石家乡（2号阀室），1个位于枫木乡（3号阀室）。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580"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4</w:t>
            </w:r>
          </w:p>
        </w:tc>
        <w:tc>
          <w:tcPr>
            <w:tcW w:w="1876"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重庆民生石柱</w:t>
            </w:r>
            <w:r>
              <w:rPr>
                <w:rFonts w:hint="eastAsia" w:ascii="方正仿宋_GBK" w:hAnsi="Times New Roman" w:eastAsia="方正仿宋_GBK" w:cs="Times New Roman"/>
                <w:color w:val="000000"/>
                <w:kern w:val="0"/>
                <w:sz w:val="24"/>
                <w:szCs w:val="24"/>
                <w:lang w:val="en-US" w:eastAsia="zh-CN"/>
              </w:rPr>
              <w:t>天</w:t>
            </w:r>
            <w:r>
              <w:rPr>
                <w:rFonts w:hint="eastAsia" w:ascii="方正仿宋_GBK" w:hAnsi="Times New Roman" w:eastAsia="方正仿宋_GBK" w:cs="Times New Roman"/>
                <w:color w:val="000000"/>
                <w:kern w:val="0"/>
                <w:sz w:val="24"/>
                <w:szCs w:val="24"/>
              </w:rPr>
              <w:t>然气有限公司</w:t>
            </w:r>
          </w:p>
        </w:tc>
        <w:tc>
          <w:tcPr>
            <w:tcW w:w="2301"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重庆市石柱县万安街道都督大道11号。</w:t>
            </w:r>
          </w:p>
        </w:tc>
        <w:tc>
          <w:tcPr>
            <w:tcW w:w="1199"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忠县忠州</w:t>
            </w:r>
            <w:r>
              <w:rPr>
                <w:rFonts w:hint="eastAsia" w:ascii="方正仿宋_GBK" w:hAnsi="Times New Roman" w:eastAsia="方正仿宋_GBK" w:cs="Times New Roman"/>
                <w:color w:val="000000"/>
                <w:kern w:val="0"/>
                <w:sz w:val="24"/>
                <w:szCs w:val="24"/>
                <w:lang w:eastAsia="zh-CN"/>
              </w:rPr>
              <w:t>－</w:t>
            </w:r>
            <w:r>
              <w:rPr>
                <w:rFonts w:hint="eastAsia" w:ascii="方正仿宋_GBK" w:hAnsi="Times New Roman" w:eastAsia="方正仿宋_GBK" w:cs="Times New Roman"/>
                <w:color w:val="000000"/>
                <w:kern w:val="0"/>
                <w:sz w:val="24"/>
                <w:szCs w:val="24"/>
              </w:rPr>
              <w:t>石柱临溪天然气输气管线</w:t>
            </w:r>
          </w:p>
        </w:tc>
        <w:tc>
          <w:tcPr>
            <w:tcW w:w="765"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kern w:val="0"/>
                <w:sz w:val="24"/>
                <w:szCs w:val="24"/>
              </w:rPr>
              <w:t>输天然气</w:t>
            </w:r>
          </w:p>
        </w:tc>
        <w:tc>
          <w:tcPr>
            <w:tcW w:w="1132" w:type="dxa"/>
            <w:noWrap w:val="0"/>
            <w:vAlign w:val="center"/>
          </w:tcPr>
          <w:p>
            <w:pPr>
              <w:spacing w:line="320" w:lineRule="exact"/>
              <w:jc w:val="center"/>
              <w:rPr>
                <w:rFonts w:hint="eastAsia" w:ascii="方正仿宋_GBK" w:hAnsi="Times New Roman" w:eastAsia="方正仿宋_GBK" w:cs="Times New Roman"/>
                <w:bCs/>
                <w:color w:val="000000"/>
                <w:kern w:val="0"/>
                <w:sz w:val="24"/>
                <w:szCs w:val="24"/>
              </w:rPr>
            </w:pPr>
            <w:r>
              <w:rPr>
                <w:rFonts w:hint="eastAsia" w:ascii="方正仿宋_GBK" w:hAnsi="Times New Roman" w:eastAsia="方正仿宋_GBK" w:cs="Times New Roman"/>
                <w:bCs/>
                <w:color w:val="000000"/>
                <w:kern w:val="0"/>
                <w:sz w:val="24"/>
                <w:szCs w:val="24"/>
              </w:rPr>
              <w:t>管径</w:t>
            </w:r>
          </w:p>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406</w:t>
            </w:r>
            <w:r>
              <w:rPr>
                <w:rFonts w:hint="eastAsia" w:ascii="方正仿宋_GBK" w:hAnsi="Times New Roman" w:eastAsia="方正仿宋_GBK" w:cs="Times New Roman"/>
                <w:bCs/>
                <w:color w:val="000000"/>
                <w:kern w:val="0"/>
                <w:sz w:val="24"/>
                <w:szCs w:val="24"/>
              </w:rPr>
              <w:t xml:space="preserve"> mm</w:t>
            </w:r>
          </w:p>
        </w:tc>
        <w:tc>
          <w:tcPr>
            <w:tcW w:w="1140"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6.3</w:t>
            </w:r>
            <w:r>
              <w:rPr>
                <w:rFonts w:hint="eastAsia" w:ascii="方正仿宋_GBK" w:hAnsi="Times New Roman" w:eastAsia="方正仿宋_GBK" w:cs="Times New Roman"/>
                <w:bCs/>
                <w:color w:val="000000"/>
                <w:kern w:val="0"/>
                <w:sz w:val="24"/>
                <w:szCs w:val="24"/>
              </w:rPr>
              <w:t>Mpa</w:t>
            </w:r>
          </w:p>
        </w:tc>
        <w:tc>
          <w:tcPr>
            <w:tcW w:w="1135"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30.9</w:t>
            </w:r>
            <w:r>
              <w:rPr>
                <w:rFonts w:hint="eastAsia" w:ascii="方正仿宋_GBK" w:hAnsi="Times New Roman" w:eastAsia="方正仿宋_GBK" w:cs="Times New Roman"/>
                <w:bCs/>
                <w:color w:val="000000"/>
                <w:kern w:val="0"/>
                <w:sz w:val="24"/>
                <w:szCs w:val="24"/>
              </w:rPr>
              <w:t xml:space="preserve"> Km</w:t>
            </w:r>
          </w:p>
        </w:tc>
        <w:tc>
          <w:tcPr>
            <w:tcW w:w="2427"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途经4个乡镇（黎场乡→王场镇→鱼池镇→石家乡）。</w:t>
            </w:r>
          </w:p>
        </w:tc>
        <w:tc>
          <w:tcPr>
            <w:tcW w:w="2103" w:type="dxa"/>
            <w:noWrap w:val="0"/>
            <w:vAlign w:val="center"/>
          </w:tcPr>
          <w:p>
            <w:pPr>
              <w:spacing w:line="320" w:lineRule="exact"/>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有1个阀室位于黎场乡（鸡公咀阀室），有1个分输站位于石家乡。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580"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合计</w:t>
            </w:r>
          </w:p>
        </w:tc>
        <w:tc>
          <w:tcPr>
            <w:tcW w:w="8413" w:type="dxa"/>
            <w:gridSpan w:val="6"/>
            <w:noWrap w:val="0"/>
            <w:vAlign w:val="center"/>
          </w:tcPr>
          <w:p>
            <w:pPr>
              <w:spacing w:line="320" w:lineRule="exact"/>
              <w:jc w:val="center"/>
              <w:rPr>
                <w:rFonts w:hint="eastAsia" w:ascii="方正仿宋_GBK" w:hAnsi="Times New Roman" w:eastAsia="方正仿宋_GBK" w:cs="Times New Roman"/>
                <w:color w:val="000000"/>
                <w:kern w:val="0"/>
                <w:sz w:val="24"/>
                <w:szCs w:val="24"/>
              </w:rPr>
            </w:pPr>
          </w:p>
        </w:tc>
        <w:tc>
          <w:tcPr>
            <w:tcW w:w="1135" w:type="dxa"/>
            <w:noWrap w:val="0"/>
            <w:vAlign w:val="center"/>
          </w:tcPr>
          <w:p>
            <w:pPr>
              <w:spacing w:line="320" w:lineRule="exact"/>
              <w:jc w:val="center"/>
              <w:rPr>
                <w:rFonts w:hint="eastAsia" w:ascii="方正仿宋_GBK" w:hAnsi="Times New Roman" w:eastAsia="方正仿宋_GBK" w:cs="Times New Roman"/>
                <w:color w:val="000000"/>
                <w:kern w:val="0"/>
                <w:sz w:val="24"/>
                <w:szCs w:val="24"/>
              </w:rPr>
            </w:pPr>
            <w:r>
              <w:rPr>
                <w:rFonts w:hint="eastAsia" w:ascii="方正仿宋_GBK" w:hAnsi="Times New Roman" w:eastAsia="方正仿宋_GBK" w:cs="Times New Roman"/>
                <w:color w:val="000000"/>
                <w:kern w:val="0"/>
                <w:sz w:val="24"/>
                <w:szCs w:val="24"/>
              </w:rPr>
              <w:t>153.28</w:t>
            </w:r>
            <w:r>
              <w:rPr>
                <w:rFonts w:hint="eastAsia" w:ascii="方正仿宋_GBK" w:hAnsi="Times New Roman" w:eastAsia="方正仿宋_GBK" w:cs="Times New Roman"/>
                <w:bCs/>
                <w:color w:val="000000"/>
                <w:kern w:val="0"/>
                <w:sz w:val="24"/>
                <w:szCs w:val="24"/>
              </w:rPr>
              <w:t xml:space="preserve"> Km</w:t>
            </w:r>
          </w:p>
        </w:tc>
        <w:tc>
          <w:tcPr>
            <w:tcW w:w="4530" w:type="dxa"/>
            <w:gridSpan w:val="2"/>
            <w:noWrap w:val="0"/>
            <w:vAlign w:val="center"/>
          </w:tcPr>
          <w:p>
            <w:pPr>
              <w:spacing w:line="320" w:lineRule="exact"/>
              <w:rPr>
                <w:rFonts w:hint="eastAsia" w:ascii="方正仿宋_GBK" w:hAnsi="Times New Roman" w:eastAsia="方正仿宋_GBK" w:cs="Times New Roman"/>
                <w:color w:val="000000"/>
                <w:kern w:val="0"/>
                <w:sz w:val="24"/>
                <w:szCs w:val="24"/>
              </w:rPr>
            </w:pPr>
          </w:p>
        </w:tc>
      </w:tr>
      <w:bookmarkEnd w:id="97"/>
    </w:tbl>
    <w:p>
      <w:pPr>
        <w:snapToGrid w:val="0"/>
        <w:spacing w:line="560" w:lineRule="exact"/>
        <w:rPr>
          <w:rFonts w:hint="eastAsia" w:ascii="Times New Roman" w:hAnsi="Times New Roman" w:eastAsia="宋体" w:cs="Times New Roman"/>
          <w:kern w:val="0"/>
          <w:sz w:val="20"/>
          <w:szCs w:val="20"/>
        </w:rPr>
      </w:pPr>
    </w:p>
    <w:p>
      <w:pPr>
        <w:snapToGrid w:val="0"/>
        <w:spacing w:line="560" w:lineRule="exact"/>
        <w:rPr>
          <w:rFonts w:hint="eastAsia" w:ascii="Times New Roman" w:hAnsi="Times New Roman" w:eastAsia="宋体" w:cs="Times New Roman"/>
          <w:kern w:val="0"/>
          <w:sz w:val="20"/>
          <w:szCs w:val="20"/>
        </w:rPr>
      </w:pPr>
    </w:p>
    <w:p>
      <w:pPr>
        <w:snapToGrid w:val="0"/>
        <w:spacing w:line="560" w:lineRule="exact"/>
        <w:rPr>
          <w:rFonts w:hint="eastAsia"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60288" behindDoc="0" locked="0" layoutInCell="1" allowOverlap="1">
            <wp:simplePos x="0" y="0"/>
            <wp:positionH relativeFrom="column">
              <wp:posOffset>-59055</wp:posOffset>
            </wp:positionH>
            <wp:positionV relativeFrom="paragraph">
              <wp:posOffset>22860</wp:posOffset>
            </wp:positionV>
            <wp:extent cx="9488805" cy="5111115"/>
            <wp:effectExtent l="0" t="0" r="17145" b="1333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9488805" cy="5111115"/>
                    </a:xfrm>
                    <a:prstGeom prst="rect">
                      <a:avLst/>
                    </a:prstGeom>
                    <a:noFill/>
                    <a:ln>
                      <a:noFill/>
                    </a:ln>
                  </pic:spPr>
                </pic:pic>
              </a:graphicData>
            </a:graphic>
          </wp:anchor>
        </w:drawing>
      </w:r>
    </w:p>
    <w:p>
      <w:pPr>
        <w:snapToGrid w:val="0"/>
        <w:spacing w:line="560" w:lineRule="exact"/>
        <w:rPr>
          <w:rFonts w:hint="eastAsia" w:ascii="Times New Roman" w:hAnsi="Times New Roman" w:eastAsia="宋体" w:cs="Times New Roman"/>
          <w:kern w:val="0"/>
          <w:sz w:val="20"/>
          <w:szCs w:val="20"/>
        </w:rPr>
      </w:pPr>
    </w:p>
    <w:p>
      <w:pPr>
        <w:snapToGrid w:val="0"/>
        <w:spacing w:line="560" w:lineRule="exact"/>
        <w:rPr>
          <w:rFonts w:hint="eastAsia"/>
        </w:rPr>
        <w:sectPr>
          <w:headerReference r:id="rId8" w:type="default"/>
          <w:footerReference r:id="rId9" w:type="default"/>
          <w:pgSz w:w="16838" w:h="11906" w:orient="landscape"/>
          <w:pgMar w:top="1247" w:right="1134" w:bottom="1134" w:left="1134" w:header="851" w:footer="964" w:gutter="0"/>
          <w:pgNumType w:fmt="numberInDash"/>
          <w:cols w:space="720" w:num="1"/>
          <w:docGrid w:linePitch="600" w:charSpace="0"/>
        </w:sectPr>
      </w:pPr>
    </w:p>
    <w:p>
      <w:pPr>
        <w:pStyle w:val="16"/>
        <w:pageBreakBefore/>
        <w:adjustRightInd w:val="0"/>
        <w:snapToGrid w:val="0"/>
        <w:spacing w:before="120" w:after="120" w:line="560" w:lineRule="exact"/>
        <w:rPr>
          <w:rFonts w:hint="eastAsia" w:ascii="方正楷体_GBK" w:hAnsi="Times New Roman" w:eastAsia="方正楷体_GBK"/>
          <w:bCs/>
          <w:kern w:val="0"/>
          <w:lang w:val="zh-CN"/>
        </w:rPr>
      </w:pPr>
      <w:bookmarkStart w:id="98" w:name="_Toc32280"/>
      <w:bookmarkStart w:id="99" w:name="_Toc28868173"/>
      <w:bookmarkStart w:id="100" w:name="_Toc504033762"/>
      <w:r>
        <w:rPr>
          <w:rFonts w:hint="eastAsia" w:ascii="方正楷体_GBK" w:hAnsi="Times New Roman" w:eastAsia="方正楷体_GBK"/>
          <w:bCs/>
          <w:kern w:val="0"/>
          <w:lang w:val="zh-CN"/>
        </w:rPr>
        <w:t>9.2  油气长输管道事故分析表</w:t>
      </w:r>
      <w:bookmarkEnd w:id="98"/>
      <w:bookmarkEnd w:id="99"/>
      <w:bookmarkEnd w:id="100"/>
    </w:p>
    <w:tbl>
      <w:tblPr>
        <w:tblStyle w:val="12"/>
        <w:tblW w:w="9060"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99"/>
        <w:gridCol w:w="825"/>
        <w:gridCol w:w="4044"/>
        <w:gridCol w:w="1107"/>
        <w:gridCol w:w="258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tblHeader/>
          <w:jc w:val="center"/>
        </w:trPr>
        <w:tc>
          <w:tcPr>
            <w:tcW w:w="499" w:type="dxa"/>
            <w:noWrap w:val="0"/>
            <w:vAlign w:val="center"/>
          </w:tcPr>
          <w:p>
            <w:pPr>
              <w:adjustRightInd w:val="0"/>
              <w:snapToGrid w:val="0"/>
              <w:spacing w:line="320" w:lineRule="exact"/>
              <w:jc w:val="center"/>
              <w:rPr>
                <w:rFonts w:hint="eastAsia" w:ascii="Times New Roman" w:hAnsi="Times New Roman" w:eastAsia="方正仿宋_GBK" w:cs="Times New Roman"/>
                <w:b/>
                <w:kern w:val="0"/>
                <w:sz w:val="21"/>
                <w:szCs w:val="21"/>
              </w:rPr>
            </w:pPr>
            <w:r>
              <w:rPr>
                <w:rFonts w:hint="eastAsia" w:ascii="Times New Roman" w:hAnsi="Times New Roman" w:eastAsia="方正仿宋_GBK" w:cs="Times New Roman"/>
                <w:b/>
                <w:kern w:val="0"/>
                <w:sz w:val="21"/>
                <w:szCs w:val="21"/>
              </w:rPr>
              <w:t>序号</w:t>
            </w:r>
          </w:p>
        </w:tc>
        <w:tc>
          <w:tcPr>
            <w:tcW w:w="825" w:type="dxa"/>
            <w:noWrap w:val="0"/>
            <w:vAlign w:val="center"/>
          </w:tcPr>
          <w:p>
            <w:pPr>
              <w:adjustRightInd w:val="0"/>
              <w:snapToGrid w:val="0"/>
              <w:spacing w:line="320" w:lineRule="exact"/>
              <w:jc w:val="center"/>
              <w:rPr>
                <w:rFonts w:hint="eastAsia" w:ascii="Times New Roman" w:hAnsi="Times New Roman" w:eastAsia="方正仿宋_GBK" w:cs="Times New Roman"/>
                <w:b/>
                <w:kern w:val="0"/>
                <w:sz w:val="21"/>
                <w:szCs w:val="21"/>
              </w:rPr>
            </w:pPr>
            <w:r>
              <w:rPr>
                <w:rFonts w:hint="eastAsia" w:ascii="Times New Roman" w:hAnsi="Times New Roman" w:eastAsia="方正仿宋_GBK" w:cs="Times New Roman"/>
                <w:b/>
                <w:kern w:val="0"/>
                <w:sz w:val="21"/>
                <w:szCs w:val="21"/>
              </w:rPr>
              <w:t>事故</w:t>
            </w:r>
          </w:p>
          <w:p>
            <w:pPr>
              <w:adjustRightInd w:val="0"/>
              <w:snapToGrid w:val="0"/>
              <w:spacing w:line="320" w:lineRule="exact"/>
              <w:jc w:val="center"/>
              <w:rPr>
                <w:rFonts w:hint="eastAsia" w:ascii="Times New Roman" w:hAnsi="Times New Roman" w:eastAsia="方正仿宋_GBK" w:cs="Times New Roman"/>
                <w:b/>
                <w:kern w:val="0"/>
                <w:sz w:val="21"/>
                <w:szCs w:val="21"/>
              </w:rPr>
            </w:pPr>
            <w:r>
              <w:rPr>
                <w:rFonts w:hint="eastAsia" w:ascii="Times New Roman" w:hAnsi="Times New Roman" w:eastAsia="方正仿宋_GBK" w:cs="Times New Roman"/>
                <w:b/>
                <w:kern w:val="0"/>
                <w:sz w:val="21"/>
                <w:szCs w:val="21"/>
              </w:rPr>
              <w:t>类型</w:t>
            </w:r>
          </w:p>
        </w:tc>
        <w:tc>
          <w:tcPr>
            <w:tcW w:w="4044" w:type="dxa"/>
            <w:noWrap w:val="0"/>
            <w:vAlign w:val="center"/>
          </w:tcPr>
          <w:p>
            <w:pPr>
              <w:adjustRightInd w:val="0"/>
              <w:snapToGrid w:val="0"/>
              <w:spacing w:line="320" w:lineRule="exact"/>
              <w:jc w:val="center"/>
              <w:rPr>
                <w:rFonts w:hint="eastAsia" w:ascii="Times New Roman" w:hAnsi="Times New Roman" w:eastAsia="方正仿宋_GBK" w:cs="Times New Roman"/>
                <w:b/>
                <w:kern w:val="0"/>
                <w:sz w:val="21"/>
                <w:szCs w:val="21"/>
              </w:rPr>
            </w:pPr>
            <w:r>
              <w:rPr>
                <w:rFonts w:hint="eastAsia" w:ascii="Times New Roman" w:hAnsi="Times New Roman" w:eastAsia="方正仿宋_GBK" w:cs="Times New Roman"/>
                <w:b/>
                <w:kern w:val="0"/>
                <w:sz w:val="21"/>
                <w:szCs w:val="21"/>
              </w:rPr>
              <w:t>事故原因</w:t>
            </w:r>
          </w:p>
        </w:tc>
        <w:tc>
          <w:tcPr>
            <w:tcW w:w="1107" w:type="dxa"/>
            <w:noWrap w:val="0"/>
            <w:vAlign w:val="center"/>
          </w:tcPr>
          <w:p>
            <w:pPr>
              <w:adjustRightInd w:val="0"/>
              <w:snapToGrid w:val="0"/>
              <w:spacing w:line="320" w:lineRule="exact"/>
              <w:jc w:val="center"/>
              <w:rPr>
                <w:rFonts w:hint="eastAsia" w:ascii="Times New Roman" w:hAnsi="Times New Roman" w:eastAsia="方正仿宋_GBK" w:cs="Times New Roman"/>
                <w:b/>
                <w:kern w:val="0"/>
                <w:sz w:val="21"/>
                <w:szCs w:val="21"/>
              </w:rPr>
            </w:pPr>
            <w:r>
              <w:rPr>
                <w:rFonts w:hint="eastAsia" w:ascii="Times New Roman" w:hAnsi="Times New Roman" w:eastAsia="方正仿宋_GBK" w:cs="Times New Roman"/>
                <w:b/>
                <w:kern w:val="0"/>
                <w:sz w:val="21"/>
                <w:szCs w:val="21"/>
              </w:rPr>
              <w:t>事故</w:t>
            </w:r>
          </w:p>
          <w:p>
            <w:pPr>
              <w:adjustRightInd w:val="0"/>
              <w:snapToGrid w:val="0"/>
              <w:spacing w:line="320" w:lineRule="exact"/>
              <w:jc w:val="center"/>
              <w:rPr>
                <w:rFonts w:hint="eastAsia" w:ascii="Times New Roman" w:hAnsi="Times New Roman" w:eastAsia="方正仿宋_GBK" w:cs="Times New Roman"/>
                <w:b/>
                <w:kern w:val="0"/>
                <w:sz w:val="21"/>
                <w:szCs w:val="21"/>
              </w:rPr>
            </w:pPr>
            <w:r>
              <w:rPr>
                <w:rFonts w:hint="eastAsia" w:ascii="Times New Roman" w:hAnsi="Times New Roman" w:eastAsia="方正仿宋_GBK" w:cs="Times New Roman"/>
                <w:b/>
                <w:kern w:val="0"/>
                <w:sz w:val="21"/>
                <w:szCs w:val="21"/>
              </w:rPr>
              <w:t>后果</w:t>
            </w:r>
          </w:p>
        </w:tc>
        <w:tc>
          <w:tcPr>
            <w:tcW w:w="2585" w:type="dxa"/>
            <w:noWrap w:val="0"/>
            <w:vAlign w:val="center"/>
          </w:tcPr>
          <w:p>
            <w:pPr>
              <w:adjustRightInd w:val="0"/>
              <w:snapToGrid w:val="0"/>
              <w:spacing w:line="320" w:lineRule="exact"/>
              <w:jc w:val="center"/>
              <w:rPr>
                <w:rFonts w:hint="eastAsia" w:ascii="Times New Roman" w:hAnsi="Times New Roman" w:eastAsia="方正仿宋_GBK" w:cs="Times New Roman"/>
                <w:b/>
                <w:kern w:val="0"/>
                <w:sz w:val="21"/>
                <w:szCs w:val="21"/>
              </w:rPr>
            </w:pPr>
            <w:r>
              <w:rPr>
                <w:rFonts w:hint="eastAsia" w:ascii="Times New Roman" w:hAnsi="Times New Roman" w:eastAsia="方正仿宋_GBK" w:cs="Times New Roman"/>
                <w:b/>
                <w:kern w:val="0"/>
                <w:sz w:val="21"/>
                <w:szCs w:val="21"/>
              </w:rPr>
              <w:t>防范措施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499" w:type="dxa"/>
            <w:noWrap w:val="0"/>
            <w:vAlign w:val="center"/>
          </w:tcPr>
          <w:p>
            <w:pPr>
              <w:adjustRightInd w:val="0"/>
              <w:snapToGrid w:val="0"/>
              <w:spacing w:line="320" w:lineRule="exact"/>
              <w:jc w:val="center"/>
              <w:rPr>
                <w:rFonts w:hint="eastAsia" w:ascii="Times New Roman" w:hAnsi="Times New Roman" w:eastAsia="方正仿宋_GBK" w:cs="Times New Roman"/>
                <w:kern w:val="0"/>
                <w:sz w:val="21"/>
                <w:szCs w:val="21"/>
                <w:lang w:eastAsia="zh-CN"/>
              </w:rPr>
            </w:pPr>
            <w:r>
              <w:rPr>
                <w:rFonts w:hint="eastAsia" w:ascii="Times New Roman" w:hAnsi="Times New Roman" w:eastAsia="方正仿宋_GBK" w:cs="Times New Roman"/>
                <w:kern w:val="0"/>
                <w:sz w:val="21"/>
                <w:szCs w:val="21"/>
                <w:lang w:val="en-US" w:eastAsia="zh-CN"/>
              </w:rPr>
              <w:t>1</w:t>
            </w:r>
          </w:p>
        </w:tc>
        <w:tc>
          <w:tcPr>
            <w:tcW w:w="825" w:type="dxa"/>
            <w:noWrap w:val="0"/>
            <w:vAlign w:val="center"/>
          </w:tcPr>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天然气长输管道泄漏、火灾、爆炸</w:t>
            </w:r>
          </w:p>
        </w:tc>
        <w:tc>
          <w:tcPr>
            <w:tcW w:w="4044" w:type="dxa"/>
            <w:noWrap w:val="0"/>
            <w:vAlign w:val="center"/>
          </w:tcPr>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1.天然气长输管道具有管径大、压力高，管道老化严重，沿线穿越山区、丘陵地带，地质、地形、气象、水文、社会、人文条件复杂，一旦管道破裂将释放大量的天然气；</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2.管道自然腐蚀、第三方损坏和自然灾害等因数，使发生安全事故的可能性大增，严重影响正常用气，造成人员伤亡、财产损失、生态环境破坏和社会影响；</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3.发生天然气泄漏，遇到火源时极易发生火灾、爆炸事故，危险性、破坏性极大；</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4.当管道破裂释放出天然气后，可能出现两种情形，即天然气被直接点燃，立即着火，产生喷射火焰，喷射火焰的热辐射会导致接受体烧伤或死亡；天然气没有直接点燃，以喷射弥散方式扩散稀释，则释放出的天然气会形成爆炸烟云，一旦遇火，这种烟云会产生一种敞口的爆炸蒸汽烟云，其冲击波可使烟团以外的人受到伤害；或者形成闪烁火焰，在闪烁火焰范围内的人群会被烧死或造成严重伤害。</w:t>
            </w:r>
          </w:p>
        </w:tc>
        <w:tc>
          <w:tcPr>
            <w:tcW w:w="1107" w:type="dxa"/>
            <w:noWrap w:val="0"/>
            <w:vAlign w:val="center"/>
          </w:tcPr>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主要对管道周边工矿企、事业单位、居民社区人员及财产造成影响，可能会导致人员伤亡或财物损失。</w:t>
            </w:r>
          </w:p>
        </w:tc>
        <w:tc>
          <w:tcPr>
            <w:tcW w:w="2585" w:type="dxa"/>
            <w:noWrap w:val="0"/>
            <w:vAlign w:val="center"/>
          </w:tcPr>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1.消除、控制火源；</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2.巡线工利用GPS巡检系统定期对长输管道进行巡检；</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3.确保防腐层完好，埋设阴极保护装置，定期开展破损点检测修复工作；</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4.监测管道周边地质地貌变化以及管道有无位移变化；</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5.定期开展管道安全隐患排查整治工作，不定期抽查管道安全状态，及时消除可能导致燃气泄漏的隐患；</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6.管道上方埋设安全警示标识桩，预防第三方施工破坏；</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7.完善各类管网管理制度，明确各设备的安全操作规程；</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8.制定长输管道专项应急预案。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510" w:hRule="atLeast"/>
          <w:jc w:val="center"/>
        </w:trPr>
        <w:tc>
          <w:tcPr>
            <w:tcW w:w="499" w:type="dxa"/>
            <w:noWrap w:val="0"/>
            <w:vAlign w:val="center"/>
          </w:tcPr>
          <w:p>
            <w:pPr>
              <w:adjustRightInd w:val="0"/>
              <w:snapToGrid w:val="0"/>
              <w:spacing w:line="320" w:lineRule="exact"/>
              <w:jc w:val="center"/>
              <w:rPr>
                <w:rFonts w:hint="eastAsia" w:ascii="Times New Roman" w:hAnsi="Times New Roman" w:eastAsia="方正仿宋_GBK" w:cs="Times New Roman"/>
                <w:kern w:val="0"/>
                <w:sz w:val="21"/>
                <w:szCs w:val="21"/>
                <w:lang w:eastAsia="zh-CN"/>
              </w:rPr>
            </w:pPr>
            <w:r>
              <w:rPr>
                <w:rFonts w:hint="eastAsia" w:ascii="Times New Roman" w:hAnsi="Times New Roman" w:eastAsia="方正仿宋_GBK" w:cs="Times New Roman"/>
                <w:kern w:val="0"/>
                <w:sz w:val="21"/>
                <w:szCs w:val="21"/>
                <w:lang w:val="en-US" w:eastAsia="zh-CN"/>
              </w:rPr>
              <w:t>2</w:t>
            </w:r>
          </w:p>
        </w:tc>
        <w:tc>
          <w:tcPr>
            <w:tcW w:w="825" w:type="dxa"/>
            <w:noWrap w:val="0"/>
            <w:vAlign w:val="center"/>
          </w:tcPr>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穿越、交叉、并行段管道泄漏、火灾、爆炸</w:t>
            </w:r>
          </w:p>
        </w:tc>
        <w:tc>
          <w:tcPr>
            <w:tcW w:w="4044" w:type="dxa"/>
            <w:noWrap w:val="0"/>
            <w:vAlign w:val="center"/>
          </w:tcPr>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1. 穿越、交叉、并行段管道输送天然气压力高，一旦管道破裂将释放大量的天然气；</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2. 穿越、交叉、并行段管线属于安全管理的重点部位，比较容易受到地震、滑坡、泥石流、隧道塌陷、洪水冲击等自然因素的影响而断裂，发生天然气泄漏；</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3. 穿越、交叉、并行段管道的自然锈蚀和第三方损坏的因素，使穿越交叉段管线发生安全事故的可能性大增。穿越段属于人口较稠密区域，一旦发生事故，极易造成人员伤亡、经济损失的后果，同时会影响主城区正常供气，产生极坏的社会影响；</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4.发生天然气泄漏，遇到火源时极易发生火灾、爆炸事故，危险性、破坏性极大。</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5.当管道破裂释放出天然气后，可能出现两种情形，即天然气被直接点燃，立即着火，产生喷射火焰， 喷射火焰的热辐射会导致接受体烧伤或死亡；天然气没有直接点燃，以喷射弥散方式扩散稀释，则释放出的天然气会形成爆炸烟云，一旦遇火，这种烟云会产生一种敞口的爆炸蒸汽烟云，其冲击波可使烟团以外的人受到伤害；或者形成闪烁火焰，在闪烁火焰范围内的人群会被烧死或造成严重伤害。</w:t>
            </w:r>
          </w:p>
        </w:tc>
        <w:tc>
          <w:tcPr>
            <w:tcW w:w="1107" w:type="dxa"/>
            <w:noWrap w:val="0"/>
            <w:vAlign w:val="center"/>
          </w:tcPr>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主要对管道周边交通系统、工矿企、事业单位、居民社区人员及财产造成影响，可能会导致人员伤亡或财物损失。</w:t>
            </w:r>
          </w:p>
        </w:tc>
        <w:tc>
          <w:tcPr>
            <w:tcW w:w="2585" w:type="dxa"/>
            <w:noWrap w:val="0"/>
            <w:vAlign w:val="center"/>
          </w:tcPr>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1.消除、控制火源；</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2.巡线工利用GPS巡检系统定期对穿越交叉段管道进行巡检；</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3.确保防腐层完好，埋设阴极保护装置，定期对管线开展破损点检测修复、管壁厚度检测等工作；</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4.监测穿越、交叉、并行段管道周边地质地貌变化以及管道有无位移变化；</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5.对穿越、交叉、并行段管线定期进行检查；</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6.定期开展管道安全隐患排查整治工作，不定期抽查管道安全状态，及时消除可能导致天然气泄漏的隐患；</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7.完善各类管网管理制度，明确各设备的安全操作规程；</w:t>
            </w:r>
          </w:p>
          <w:p>
            <w:pPr>
              <w:adjustRightInd w:val="0"/>
              <w:snapToGrid w:val="0"/>
              <w:spacing w:line="320" w:lineRule="exact"/>
              <w:rPr>
                <w:rFonts w:hint="eastAsia" w:ascii="Times New Roman" w:hAnsi="Times New Roman" w:eastAsia="方正仿宋_GBK" w:cs="Times New Roman"/>
                <w:kern w:val="0"/>
                <w:sz w:val="21"/>
                <w:szCs w:val="21"/>
              </w:rPr>
            </w:pPr>
            <w:r>
              <w:rPr>
                <w:rFonts w:hint="eastAsia" w:ascii="Times New Roman" w:hAnsi="Times New Roman" w:eastAsia="方正仿宋_GBK" w:cs="Times New Roman"/>
                <w:kern w:val="0"/>
                <w:sz w:val="21"/>
                <w:szCs w:val="21"/>
              </w:rPr>
              <w:t>8.制定穿越、交叉、并行段施工作业管道专项应急预案。</w:t>
            </w:r>
          </w:p>
        </w:tc>
      </w:tr>
    </w:tbl>
    <w:p>
      <w:pPr>
        <w:snapToGrid w:val="0"/>
        <w:spacing w:line="560" w:lineRule="exact"/>
        <w:rPr>
          <w:rFonts w:hint="eastAsia" w:ascii="Times New Roman" w:hAnsi="Times New Roman" w:eastAsia="方正仿宋_GBK" w:cs="Times New Roman"/>
          <w:kern w:val="0"/>
          <w:sz w:val="32"/>
          <w:szCs w:val="20"/>
        </w:rPr>
      </w:pPr>
    </w:p>
    <w:p>
      <w:pPr>
        <w:pStyle w:val="16"/>
        <w:pageBreakBefore/>
        <w:adjustRightInd w:val="0"/>
        <w:snapToGrid w:val="0"/>
        <w:spacing w:before="120" w:after="120" w:line="560" w:lineRule="exact"/>
        <w:rPr>
          <w:rFonts w:hint="eastAsia" w:ascii="方正楷体_GBK" w:hAnsi="Times New Roman" w:eastAsia="方正楷体_GBK"/>
          <w:bCs/>
          <w:kern w:val="0"/>
          <w:lang w:val="zh-CN"/>
        </w:rPr>
      </w:pPr>
      <w:bookmarkStart w:id="101" w:name="_Toc5317"/>
      <w:bookmarkStart w:id="102" w:name="_Toc28868174"/>
      <w:r>
        <w:rPr>
          <w:rFonts w:hint="eastAsia" w:ascii="方正楷体_GBK" w:hAnsi="Times New Roman" w:eastAsia="方正楷体_GBK"/>
          <w:bCs/>
          <w:kern w:val="0"/>
          <w:lang w:val="zh-CN"/>
        </w:rPr>
        <w:t>9.3  应急救援指挥机构成员单位联系表</w:t>
      </w:r>
      <w:bookmarkEnd w:id="101"/>
      <w:bookmarkEnd w:id="102"/>
    </w:p>
    <w:tbl>
      <w:tblPr>
        <w:tblStyle w:val="12"/>
        <w:tblW w:w="9019" w:type="dxa"/>
        <w:jc w:val="center"/>
        <w:tblLayout w:type="fixed"/>
        <w:tblCellMar>
          <w:top w:w="0" w:type="dxa"/>
          <w:left w:w="0" w:type="dxa"/>
          <w:bottom w:w="0" w:type="dxa"/>
          <w:right w:w="0" w:type="dxa"/>
        </w:tblCellMar>
      </w:tblPr>
      <w:tblGrid>
        <w:gridCol w:w="815"/>
        <w:gridCol w:w="3526"/>
        <w:gridCol w:w="3260"/>
        <w:gridCol w:w="1418"/>
      </w:tblGrid>
      <w:tr>
        <w:tblPrEx>
          <w:tblCellMar>
            <w:top w:w="0" w:type="dxa"/>
            <w:left w:w="0" w:type="dxa"/>
            <w:bottom w:w="0" w:type="dxa"/>
            <w:right w:w="0" w:type="dxa"/>
          </w:tblCellMar>
        </w:tblPrEx>
        <w:trPr>
          <w:trHeight w:val="517" w:hRule="atLeast"/>
          <w:tblHeader/>
          <w:jc w:val="center"/>
        </w:trPr>
        <w:tc>
          <w:tcPr>
            <w:tcW w:w="815" w:type="dxa"/>
            <w:tcBorders>
              <w:top w:val="single" w:color="000000" w:sz="12"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序号</w:t>
            </w:r>
          </w:p>
        </w:tc>
        <w:tc>
          <w:tcPr>
            <w:tcW w:w="3526" w:type="dxa"/>
            <w:tcBorders>
              <w:top w:val="single" w:color="000000" w:sz="12"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单位名称</w:t>
            </w:r>
          </w:p>
        </w:tc>
        <w:tc>
          <w:tcPr>
            <w:tcW w:w="3260" w:type="dxa"/>
            <w:tcBorders>
              <w:top w:val="single" w:color="000000" w:sz="12"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应急值班电话</w:t>
            </w:r>
            <w:r>
              <w:rPr>
                <w:rFonts w:hint="eastAsia" w:ascii="Times New Roman" w:hAnsi="Times New Roman" w:eastAsia="方正仿宋_GBK" w:cs="Times New Roman"/>
                <w:color w:val="000000"/>
                <w:kern w:val="0"/>
                <w:sz w:val="28"/>
                <w:szCs w:val="28"/>
                <w:lang w:eastAsia="zh-CN"/>
              </w:rPr>
              <w:t>(</w:t>
            </w:r>
            <w:r>
              <w:rPr>
                <w:rFonts w:hint="eastAsia" w:ascii="Times New Roman" w:hAnsi="Times New Roman" w:eastAsia="方正仿宋_GBK" w:cs="Times New Roman"/>
                <w:color w:val="000000"/>
                <w:kern w:val="0"/>
                <w:sz w:val="28"/>
                <w:szCs w:val="28"/>
              </w:rPr>
              <w:t>023)</w:t>
            </w:r>
          </w:p>
        </w:tc>
        <w:tc>
          <w:tcPr>
            <w:tcW w:w="1418" w:type="dxa"/>
            <w:tcBorders>
              <w:top w:val="single" w:color="000000" w:sz="12"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备注</w:t>
            </w: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1</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县政府办公室</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73332012</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2</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县发展改革委</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73332041</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3</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县应急管理局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73325500</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4</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县消防救援大队</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73319677</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5</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w:t>
            </w:r>
            <w:r>
              <w:rPr>
                <w:rFonts w:hint="eastAsia" w:ascii="Times New Roman" w:hAnsi="Times New Roman" w:eastAsia="方正仿宋_GBK" w:cs="Times New Roman"/>
                <w:color w:val="000000"/>
                <w:kern w:val="0"/>
                <w:sz w:val="28"/>
                <w:szCs w:val="28"/>
                <w:lang w:eastAsia="zh-CN"/>
              </w:rPr>
              <w:t>政府新闻办</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lang w:val="en-US" w:eastAsia="zh-CN"/>
              </w:rPr>
              <w:t>85009315</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6</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县委网信办</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85009329</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县经济信息委</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73332025</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8</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县财政局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73327155</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9</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县交通局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73332261</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10</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县商务委</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73336215</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11</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县公安局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73334020</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12</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县民政局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73332145</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38"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13</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县人力社保局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73332161</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14</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县规划自然资源局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73378418</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15</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县生态环境局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73376369</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16</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县卫生健康委</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73332124</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17</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县市场监管局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73332132</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1</w:t>
            </w:r>
            <w:r>
              <w:rPr>
                <w:rFonts w:hint="eastAsia" w:ascii="Times New Roman" w:hAnsi="Times New Roman" w:eastAsia="方正仿宋_GBK" w:cs="Times New Roman"/>
                <w:color w:val="000000"/>
                <w:kern w:val="0"/>
                <w:sz w:val="28"/>
                <w:szCs w:val="28"/>
                <w:lang w:val="en-US" w:eastAsia="zh-CN"/>
              </w:rPr>
              <w:t>8</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县总工会</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73332335</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r>
        <w:tblPrEx>
          <w:tblCellMar>
            <w:top w:w="0" w:type="dxa"/>
            <w:left w:w="0" w:type="dxa"/>
            <w:bottom w:w="0" w:type="dxa"/>
            <w:right w:w="0" w:type="dxa"/>
          </w:tblCellMar>
        </w:tblPrEx>
        <w:trPr>
          <w:trHeight w:val="517" w:hRule="atLeast"/>
          <w:jc w:val="center"/>
        </w:trPr>
        <w:tc>
          <w:tcPr>
            <w:tcW w:w="815" w:type="dxa"/>
            <w:tcBorders>
              <w:top w:val="single" w:color="000000" w:sz="6" w:space="0"/>
              <w:left w:val="single" w:color="000000" w:sz="12"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lang w:val="en-US" w:eastAsia="zh-CN"/>
              </w:rPr>
              <w:t>19</w:t>
            </w:r>
          </w:p>
        </w:tc>
        <w:tc>
          <w:tcPr>
            <w:tcW w:w="3526"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县气象局</w:t>
            </w:r>
          </w:p>
        </w:tc>
        <w:tc>
          <w:tcPr>
            <w:tcW w:w="3260" w:type="dxa"/>
            <w:tcBorders>
              <w:top w:val="single" w:color="000000" w:sz="6" w:space="0"/>
              <w:left w:val="single" w:color="000000" w:sz="6" w:space="0"/>
              <w:bottom w:val="single" w:color="000000" w:sz="6" w:space="0"/>
              <w:right w:val="single" w:color="000000" w:sz="6" w:space="0"/>
            </w:tcBorders>
            <w:noWrap w:val="0"/>
            <w:tcMar>
              <w:top w:w="0" w:type="dxa"/>
              <w:left w:w="108" w:type="dxa"/>
              <w:bottom w:w="0" w:type="dxa"/>
              <w:right w:w="108" w:type="dxa"/>
            </w:tcMar>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bidi="ar-SA"/>
              </w:rPr>
            </w:pPr>
            <w:r>
              <w:rPr>
                <w:rFonts w:hint="eastAsia" w:ascii="Times New Roman" w:hAnsi="Times New Roman" w:eastAsia="方正仿宋_GBK" w:cs="Times New Roman"/>
                <w:color w:val="000000"/>
                <w:kern w:val="0"/>
                <w:sz w:val="28"/>
                <w:szCs w:val="28"/>
              </w:rPr>
              <w:t>73332689</w:t>
            </w:r>
          </w:p>
        </w:tc>
        <w:tc>
          <w:tcPr>
            <w:tcW w:w="1418" w:type="dxa"/>
            <w:tcBorders>
              <w:top w:val="single" w:color="000000" w:sz="6" w:space="0"/>
              <w:left w:val="single" w:color="000000" w:sz="6" w:space="0"/>
              <w:bottom w:val="single" w:color="000000" w:sz="6" w:space="0"/>
              <w:right w:val="single" w:color="000000" w:sz="12" w:space="0"/>
            </w:tcBorders>
            <w:noWrap w:val="0"/>
            <w:tcMar>
              <w:top w:w="0" w:type="dxa"/>
              <w:left w:w="108" w:type="dxa"/>
              <w:bottom w:w="0" w:type="dxa"/>
              <w:right w:w="108" w:type="dxa"/>
            </w:tcMar>
            <w:vAlign w:val="center"/>
          </w:tcPr>
          <w:p>
            <w:pPr>
              <w:snapToGrid w:val="0"/>
              <w:spacing w:line="400" w:lineRule="exact"/>
              <w:jc w:val="center"/>
              <w:rPr>
                <w:rFonts w:hint="eastAsia" w:ascii="宋体" w:hAnsi="宋体" w:eastAsia="宋体" w:cs="宋体"/>
                <w:bCs/>
                <w:color w:val="000000"/>
                <w:kern w:val="0"/>
                <w:sz w:val="28"/>
                <w:szCs w:val="20"/>
              </w:rPr>
            </w:pPr>
          </w:p>
        </w:tc>
      </w:tr>
    </w:tbl>
    <w:p>
      <w:pPr>
        <w:rPr>
          <w:rFonts w:ascii="Times New Roman" w:hAnsi="Times New Roman" w:eastAsia="宋体" w:cs="Times New Roman"/>
          <w:kern w:val="0"/>
          <w:sz w:val="20"/>
          <w:szCs w:val="20"/>
          <w:lang w:val="zh-CN"/>
        </w:rPr>
      </w:pPr>
    </w:p>
    <w:p>
      <w:pPr>
        <w:rPr>
          <w:rFonts w:ascii="Times New Roman" w:hAnsi="Times New Roman" w:eastAsia="宋体" w:cs="Times New Roman"/>
          <w:kern w:val="0"/>
          <w:sz w:val="20"/>
          <w:szCs w:val="20"/>
          <w:lang w:val="zh-CN"/>
        </w:rPr>
      </w:pPr>
    </w:p>
    <w:p>
      <w:pPr>
        <w:widowControl w:val="0"/>
        <w:ind w:firstLine="420" w:firstLineChars="200"/>
        <w:jc w:val="both"/>
        <w:rPr>
          <w:rFonts w:ascii="Times New Roman" w:hAnsi="Times New Roman" w:eastAsia="宋体" w:cs="Angsana New"/>
          <w:szCs w:val="24"/>
          <w:lang w:val="zh-CN" w:eastAsia="zh-CN" w:bidi="th-TH"/>
        </w:rPr>
      </w:pPr>
    </w:p>
    <w:p>
      <w:pPr>
        <w:rPr>
          <w:rFonts w:ascii="Times New Roman" w:hAnsi="Times New Roman" w:eastAsia="宋体" w:cs="Times New Roman"/>
          <w:kern w:val="0"/>
          <w:sz w:val="20"/>
          <w:szCs w:val="20"/>
          <w:lang w:val="zh-CN"/>
        </w:rPr>
      </w:pPr>
    </w:p>
    <w:p>
      <w:pPr>
        <w:rPr>
          <w:rFonts w:ascii="Times New Roman" w:hAnsi="Times New Roman" w:eastAsia="宋体" w:cs="Times New Roman"/>
          <w:kern w:val="0"/>
          <w:sz w:val="20"/>
          <w:szCs w:val="20"/>
          <w:lang w:val="zh-CN"/>
        </w:rPr>
      </w:pPr>
    </w:p>
    <w:p>
      <w:pPr>
        <w:widowControl w:val="0"/>
        <w:ind w:firstLine="640" w:firstLineChars="200"/>
        <w:jc w:val="center"/>
        <w:rPr>
          <w:rFonts w:hint="eastAsia" w:ascii="方正楷体_GBK" w:hAnsi="Times New Roman" w:eastAsia="方正楷体_GBK" w:cs="Times New Roman"/>
          <w:b w:val="0"/>
          <w:bCs/>
          <w:kern w:val="0"/>
          <w:sz w:val="32"/>
          <w:szCs w:val="32"/>
          <w:lang w:val="zh-CN" w:eastAsia="zh-CN" w:bidi="ar-SA"/>
        </w:rPr>
      </w:pPr>
      <w:r>
        <w:rPr>
          <w:rFonts w:hint="eastAsia" w:ascii="方正楷体_GBK" w:hAnsi="Times New Roman" w:eastAsia="方正楷体_GBK" w:cs="Times New Roman"/>
          <w:b w:val="0"/>
          <w:bCs/>
          <w:kern w:val="0"/>
          <w:sz w:val="32"/>
          <w:szCs w:val="32"/>
          <w:lang w:val="en-US" w:eastAsia="zh-CN" w:bidi="ar-SA"/>
        </w:rPr>
        <w:t>9.4</w:t>
      </w:r>
      <w:r>
        <w:rPr>
          <w:rFonts w:hint="eastAsia" w:ascii="方正楷体_GBK" w:hAnsi="Times New Roman" w:eastAsia="方正楷体_GBK" w:cs="Times New Roman"/>
          <w:b w:val="0"/>
          <w:bCs/>
          <w:kern w:val="0"/>
          <w:sz w:val="32"/>
          <w:szCs w:val="32"/>
          <w:lang w:val="zh-CN" w:eastAsia="zh-CN" w:bidi="ar-SA"/>
        </w:rPr>
        <w:t>石柱县发展改革委应急救援队伍表</w:t>
      </w:r>
    </w:p>
    <w:p>
      <w:pPr>
        <w:rPr>
          <w:rFonts w:hint="eastAsia" w:ascii="Times New Roman" w:hAnsi="宋体" w:eastAsia="宋体" w:cs="Times New Roman"/>
          <w:kern w:val="0"/>
          <w:sz w:val="24"/>
          <w:szCs w:val="20"/>
          <w:lang w:eastAsia="zh-CN"/>
        </w:rPr>
      </w:pPr>
    </w:p>
    <w:tbl>
      <w:tblPr>
        <w:tblStyle w:val="12"/>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93"/>
        <w:gridCol w:w="1338"/>
        <w:gridCol w:w="1100"/>
        <w:gridCol w:w="2900"/>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jc w:val="center"/>
        </w:trPr>
        <w:tc>
          <w:tcPr>
            <w:tcW w:w="1593"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组织机构</w:t>
            </w: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职务</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姓名</w:t>
            </w:r>
          </w:p>
        </w:tc>
        <w:tc>
          <w:tcPr>
            <w:tcW w:w="29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职务</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r>
              <w:rPr>
                <w:rFonts w:hint="default" w:ascii="Times New Roman" w:hAnsi="Times New Roman" w:eastAsia="方正仿宋_GBK" w:cs="Times New Roman"/>
                <w:color w:val="000000"/>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8" w:hRule="atLeast"/>
          <w:jc w:val="center"/>
        </w:trPr>
        <w:tc>
          <w:tcPr>
            <w:tcW w:w="1593" w:type="dxa"/>
            <w:vMerge w:val="restart"/>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应急救援指挥领导小组</w:t>
            </w: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指挥长</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哈文</w:t>
            </w:r>
          </w:p>
        </w:tc>
        <w:tc>
          <w:tcPr>
            <w:tcW w:w="29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党组书记、主任</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副指挥长</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都成军</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党组成员、副主任</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副指挥长</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黎俐伶</w:t>
            </w:r>
          </w:p>
        </w:tc>
        <w:tc>
          <w:tcPr>
            <w:tcW w:w="29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党组成员、副主任</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组员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汪玲宇</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环境能源科负责人</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组员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刘福定</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lang w:eastAsia="zh-CN"/>
              </w:rPr>
              <w:t>环境能源科</w:t>
            </w:r>
            <w:r>
              <w:rPr>
                <w:rFonts w:hint="eastAsia" w:ascii="Times New Roman" w:hAnsi="Times New Roman" w:eastAsia="方正仿宋_GBK" w:cs="Times New Roman"/>
                <w:color w:val="000000"/>
                <w:kern w:val="0"/>
                <w:sz w:val="28"/>
                <w:szCs w:val="28"/>
                <w:lang w:eastAsia="zh-CN"/>
              </w:rPr>
              <w:t>一级主任科员</w:t>
            </w:r>
          </w:p>
        </w:tc>
        <w:tc>
          <w:tcPr>
            <w:tcW w:w="2043"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组员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谭超</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办公室负责人</w:t>
            </w:r>
          </w:p>
        </w:tc>
        <w:tc>
          <w:tcPr>
            <w:tcW w:w="2043"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组员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李朝辉</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经贸粮油科科长</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restart"/>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r>
              <w:rPr>
                <w:rFonts w:hint="default" w:ascii="Times New Roman" w:hAnsi="Times New Roman" w:eastAsia="方正仿宋_GBK" w:cs="Times New Roman"/>
                <w:color w:val="000000"/>
                <w:kern w:val="0"/>
                <w:sz w:val="28"/>
                <w:szCs w:val="28"/>
              </w:rPr>
              <w:t>抢险组</w:t>
            </w: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r>
              <w:rPr>
                <w:rFonts w:hint="default" w:ascii="Times New Roman" w:hAnsi="Times New Roman" w:eastAsia="方正仿宋_GBK" w:cs="Times New Roman"/>
                <w:color w:val="000000"/>
                <w:kern w:val="0"/>
                <w:sz w:val="28"/>
                <w:szCs w:val="28"/>
              </w:rPr>
              <w:t>组  长</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唐地奎</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价格管理科科长</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lang w:eastAsia="zh-CN"/>
              </w:rPr>
              <w:t>副组长</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陈益明</w:t>
            </w:r>
          </w:p>
        </w:tc>
        <w:tc>
          <w:tcPr>
            <w:tcW w:w="29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营商环境科科长</w:t>
            </w:r>
          </w:p>
        </w:tc>
        <w:tc>
          <w:tcPr>
            <w:tcW w:w="2043"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副组长</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陈杲</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社会事业科科长</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杨勇</w:t>
            </w:r>
          </w:p>
        </w:tc>
        <w:tc>
          <w:tcPr>
            <w:tcW w:w="29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城乡统筹发展中心负责人</w:t>
            </w:r>
          </w:p>
        </w:tc>
        <w:tc>
          <w:tcPr>
            <w:tcW w:w="2043"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郭洪波</w:t>
            </w:r>
          </w:p>
        </w:tc>
        <w:tc>
          <w:tcPr>
            <w:tcW w:w="29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lang w:val="en-US" w:eastAsia="zh-CN"/>
              </w:rPr>
              <w:t>发展规划科</w:t>
            </w:r>
            <w:r>
              <w:rPr>
                <w:rFonts w:hint="eastAsia" w:ascii="Times New Roman" w:hAnsi="Times New Roman" w:eastAsia="方正仿宋_GBK" w:cs="Times New Roman"/>
                <w:color w:val="000000"/>
                <w:kern w:val="0"/>
                <w:sz w:val="28"/>
                <w:szCs w:val="28"/>
                <w:lang w:val="en-US" w:eastAsia="zh-CN"/>
              </w:rPr>
              <w:t>负责人</w:t>
            </w:r>
          </w:p>
        </w:tc>
        <w:tc>
          <w:tcPr>
            <w:tcW w:w="2043"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马号迪</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lang w:eastAsia="zh-CN"/>
              </w:rPr>
              <w:t>环境能源科工作人员</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戴帛男</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发展规划科工作人员</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张德理</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lang w:val="en-US" w:eastAsia="zh-CN"/>
              </w:rPr>
              <w:t>社会事业科</w:t>
            </w:r>
            <w:r>
              <w:rPr>
                <w:rFonts w:hint="eastAsia" w:ascii="Times New Roman" w:hAnsi="Times New Roman" w:eastAsia="方正仿宋_GBK" w:cs="Times New Roman"/>
                <w:color w:val="000000"/>
                <w:kern w:val="0"/>
                <w:sz w:val="28"/>
                <w:szCs w:val="28"/>
                <w:lang w:val="en-US" w:eastAsia="zh-CN"/>
              </w:rPr>
              <w:t>工作人员</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陈以平</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lang w:val="en-US" w:eastAsia="zh-CN"/>
              </w:rPr>
              <w:t>经贸粮油科工作人员</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吴少杰</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lang w:val="en-US" w:eastAsia="zh-CN"/>
              </w:rPr>
              <w:t>价格管理科工作人员</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restart"/>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r>
              <w:rPr>
                <w:rFonts w:hint="eastAsia" w:ascii="Times New Roman" w:hAnsi="Times New Roman" w:eastAsia="方正仿宋_GBK" w:cs="Times New Roman"/>
                <w:color w:val="000000"/>
                <w:kern w:val="0"/>
                <w:sz w:val="28"/>
                <w:szCs w:val="28"/>
                <w:lang w:eastAsia="zh-CN"/>
              </w:rPr>
              <w:t>综合组</w:t>
            </w: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rPr>
              <w:t>组  长</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谭超</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办公室负责人</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eastAsia="zh-CN"/>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副组长</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宋秋彤</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环境能源科工作人员</w:t>
            </w:r>
          </w:p>
        </w:tc>
        <w:tc>
          <w:tcPr>
            <w:tcW w:w="2043"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rPr>
              <w:t>1</w:t>
            </w:r>
            <w:r>
              <w:rPr>
                <w:rFonts w:hint="eastAsia" w:ascii="Times New Roman" w:hAnsi="Times New Roman" w:eastAsia="方正仿宋_GBK" w:cs="Times New Roman"/>
                <w:color w:val="000000"/>
                <w:kern w:val="0"/>
                <w:sz w:val="28"/>
                <w:szCs w:val="28"/>
                <w:lang w:val="en-US" w:eastAsia="zh-CN"/>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lang w:val="en-US" w:eastAsia="zh-CN"/>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谭怡</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lang w:val="en-US" w:eastAsia="zh-CN"/>
              </w:rPr>
              <w:t>办公室</w:t>
            </w:r>
            <w:r>
              <w:rPr>
                <w:rFonts w:hint="eastAsia" w:ascii="Times New Roman" w:hAnsi="Times New Roman" w:eastAsia="方正仿宋_GBK" w:cs="Times New Roman"/>
                <w:color w:val="000000"/>
                <w:kern w:val="0"/>
                <w:sz w:val="28"/>
                <w:szCs w:val="28"/>
                <w:lang w:val="en-US" w:eastAsia="zh-CN"/>
              </w:rPr>
              <w:t>工作人员</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r>
              <w:rPr>
                <w:rFonts w:hint="default" w:ascii="Times New Roman" w:hAnsi="Times New Roman" w:eastAsia="方正仿宋_GBK" w:cs="Times New Roman"/>
                <w:color w:val="000000"/>
                <w:kern w:val="0"/>
                <w:sz w:val="28"/>
                <w:szCs w:val="28"/>
                <w:lang w:val="en-US" w:eastAsia="zh-CN"/>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eastAsia="zh-CN"/>
              </w:rPr>
              <w:t>唐莉</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办公室工作人员</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18*******56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r>
              <w:rPr>
                <w:rFonts w:hint="default" w:ascii="Times New Roman" w:hAnsi="Times New Roman" w:eastAsia="方正仿宋_GBK" w:cs="Times New Roman"/>
                <w:color w:val="000000"/>
                <w:kern w:val="0"/>
                <w:sz w:val="28"/>
                <w:szCs w:val="28"/>
                <w:lang w:val="en-US" w:eastAsia="zh-CN"/>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何冬琴</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default" w:ascii="Times New Roman" w:hAnsi="Times New Roman" w:eastAsia="方正仿宋_GBK" w:cs="Times New Roman"/>
                <w:color w:val="000000"/>
                <w:kern w:val="0"/>
                <w:sz w:val="28"/>
                <w:szCs w:val="28"/>
                <w:lang w:val="en-US" w:eastAsia="zh-CN"/>
              </w:rPr>
              <w:t>社会事业科工作人员</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1593" w:type="dxa"/>
            <w:vMerge w:val="continue"/>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p>
        </w:tc>
        <w:tc>
          <w:tcPr>
            <w:tcW w:w="1338"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rPr>
            </w:pPr>
            <w:r>
              <w:rPr>
                <w:rFonts w:hint="default" w:ascii="Times New Roman" w:hAnsi="Times New Roman" w:eastAsia="方正仿宋_GBK" w:cs="Times New Roman"/>
                <w:color w:val="000000"/>
                <w:kern w:val="0"/>
                <w:sz w:val="28"/>
                <w:szCs w:val="28"/>
                <w:lang w:val="en-US" w:eastAsia="zh-CN"/>
              </w:rPr>
              <w:t>组  员</w:t>
            </w:r>
          </w:p>
        </w:tc>
        <w:tc>
          <w:tcPr>
            <w:tcW w:w="1100" w:type="dxa"/>
            <w:noWrap w:val="0"/>
            <w:vAlign w:val="center"/>
          </w:tcPr>
          <w:p>
            <w:pPr>
              <w:adjustRightInd w:val="0"/>
              <w:snapToGrid w:val="0"/>
              <w:spacing w:line="320" w:lineRule="exact"/>
              <w:jc w:val="center"/>
              <w:rPr>
                <w:rFonts w:hint="eastAsia"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隆立</w:t>
            </w:r>
          </w:p>
        </w:tc>
        <w:tc>
          <w:tcPr>
            <w:tcW w:w="2900"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农村经济科工作人员</w:t>
            </w:r>
          </w:p>
        </w:tc>
        <w:tc>
          <w:tcPr>
            <w:tcW w:w="2043" w:type="dxa"/>
            <w:noWrap w:val="0"/>
            <w:vAlign w:val="center"/>
          </w:tcPr>
          <w:p>
            <w:pPr>
              <w:adjustRightInd w:val="0"/>
              <w:snapToGrid w:val="0"/>
              <w:spacing w:line="320" w:lineRule="exact"/>
              <w:jc w:val="center"/>
              <w:rPr>
                <w:rFonts w:hint="default" w:ascii="Times New Roman" w:hAnsi="Times New Roman" w:eastAsia="方正仿宋_GBK" w:cs="Times New Roman"/>
                <w:color w:val="000000"/>
                <w:kern w:val="0"/>
                <w:sz w:val="28"/>
                <w:szCs w:val="28"/>
                <w:lang w:val="en-US" w:eastAsia="zh-CN"/>
              </w:rPr>
            </w:pPr>
            <w:r>
              <w:rPr>
                <w:rFonts w:hint="eastAsia" w:ascii="Times New Roman" w:hAnsi="Times New Roman" w:eastAsia="方正仿宋_GBK" w:cs="Times New Roman"/>
                <w:color w:val="000000"/>
                <w:kern w:val="0"/>
                <w:sz w:val="28"/>
                <w:szCs w:val="28"/>
                <w:lang w:val="en-US" w:eastAsia="zh-CN"/>
              </w:rPr>
              <w:t>13*******30</w:t>
            </w:r>
          </w:p>
        </w:tc>
      </w:tr>
    </w:tbl>
    <w:p>
      <w:pPr>
        <w:rPr>
          <w:lang w:val="zh-CN"/>
        </w:rPr>
        <w:sectPr>
          <w:pgSz w:w="11906" w:h="16838"/>
          <w:pgMar w:top="1985" w:right="1531" w:bottom="1985" w:left="1531" w:header="851" w:footer="1474" w:gutter="0"/>
          <w:pgNumType w:fmt="numberInDash"/>
          <w:cols w:space="720" w:num="1"/>
          <w:docGrid w:linePitch="600" w:charSpace="0"/>
        </w:sectPr>
      </w:pPr>
    </w:p>
    <w:p>
      <w:pPr>
        <w:pStyle w:val="16"/>
        <w:pageBreakBefore/>
        <w:adjustRightInd w:val="0"/>
        <w:snapToGrid w:val="0"/>
        <w:spacing w:before="120" w:after="120" w:line="560" w:lineRule="exact"/>
        <w:rPr>
          <w:rFonts w:hint="eastAsia" w:ascii="方正楷体_GBK" w:hAnsi="Times New Roman" w:eastAsia="方正楷体_GBK"/>
          <w:bCs/>
          <w:kern w:val="0"/>
          <w:lang w:val="zh-CN"/>
        </w:rPr>
      </w:pPr>
      <w:bookmarkStart w:id="103" w:name="_Toc6716"/>
      <w:r>
        <w:rPr>
          <w:rFonts w:hint="eastAsia" w:ascii="方正楷体_GBK" w:hAnsi="Times New Roman" w:eastAsia="方正楷体_GBK"/>
          <w:bCs/>
          <w:kern w:val="0"/>
          <w:lang w:val="zh-CN"/>
        </w:rPr>
        <w:t>9.</w:t>
      </w:r>
      <w:r>
        <w:rPr>
          <w:rFonts w:hint="eastAsia" w:ascii="方正楷体_GBK" w:hAnsi="Times New Roman" w:eastAsia="方正楷体_GBK"/>
          <w:bCs/>
          <w:kern w:val="0"/>
          <w:lang w:val="en-US" w:eastAsia="zh-CN"/>
        </w:rPr>
        <w:t>5</w:t>
      </w:r>
      <w:r>
        <w:rPr>
          <w:rFonts w:hint="eastAsia" w:ascii="方正楷体_GBK" w:hAnsi="Times New Roman" w:eastAsia="方正楷体_GBK"/>
          <w:bCs/>
          <w:kern w:val="0"/>
          <w:lang w:val="zh-CN"/>
        </w:rPr>
        <w:t xml:space="preserve">  石柱县油气长输管道安全政府通讯录</w:t>
      </w:r>
      <w:bookmarkEnd w:id="103"/>
    </w:p>
    <w:tbl>
      <w:tblPr>
        <w:tblStyle w:val="12"/>
        <w:tblW w:w="14328" w:type="dxa"/>
        <w:tblInd w:w="0" w:type="dxa"/>
        <w:tblLayout w:type="fixed"/>
        <w:tblCellMar>
          <w:top w:w="0" w:type="dxa"/>
          <w:left w:w="108" w:type="dxa"/>
          <w:bottom w:w="0" w:type="dxa"/>
          <w:right w:w="108" w:type="dxa"/>
        </w:tblCellMar>
      </w:tblPr>
      <w:tblGrid>
        <w:gridCol w:w="2008"/>
        <w:gridCol w:w="1800"/>
        <w:gridCol w:w="1500"/>
        <w:gridCol w:w="1500"/>
        <w:gridCol w:w="1888"/>
        <w:gridCol w:w="1512"/>
        <w:gridCol w:w="2100"/>
        <w:gridCol w:w="2020"/>
      </w:tblGrid>
      <w:tr>
        <w:tblPrEx>
          <w:tblCellMar>
            <w:top w:w="0" w:type="dxa"/>
            <w:left w:w="108" w:type="dxa"/>
            <w:bottom w:w="0" w:type="dxa"/>
            <w:right w:w="108" w:type="dxa"/>
          </w:tblCellMar>
        </w:tblPrEx>
        <w:trPr>
          <w:trHeight w:val="399" w:hRule="atLeast"/>
        </w:trPr>
        <w:tc>
          <w:tcPr>
            <w:tcW w:w="2008" w:type="dxa"/>
            <w:vMerge w:val="restart"/>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36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单位</w:t>
            </w:r>
          </w:p>
        </w:tc>
        <w:tc>
          <w:tcPr>
            <w:tcW w:w="1800" w:type="dxa"/>
            <w:vMerge w:val="restart"/>
            <w:tcBorders>
              <w:top w:val="single" w:color="auto" w:sz="4" w:space="0"/>
              <w:left w:val="single" w:color="auto" w:sz="4" w:space="0"/>
              <w:bottom w:val="single" w:color="000000" w:sz="4" w:space="0"/>
              <w:right w:val="single" w:color="auto" w:sz="4" w:space="0"/>
            </w:tcBorders>
            <w:noWrap/>
            <w:vAlign w:val="center"/>
          </w:tcPr>
          <w:p>
            <w:pPr>
              <w:adjustRightInd w:val="0"/>
              <w:snapToGrid w:val="0"/>
              <w:spacing w:line="36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办公室电话</w:t>
            </w:r>
          </w:p>
        </w:tc>
        <w:tc>
          <w:tcPr>
            <w:tcW w:w="4888" w:type="dxa"/>
            <w:gridSpan w:val="3"/>
            <w:tcBorders>
              <w:top w:val="single" w:color="auto" w:sz="4" w:space="0"/>
              <w:left w:val="nil"/>
              <w:bottom w:val="single" w:color="auto" w:sz="4" w:space="0"/>
              <w:right w:val="single" w:color="000000" w:sz="4" w:space="0"/>
            </w:tcBorders>
            <w:noWrap/>
            <w:vAlign w:val="center"/>
          </w:tcPr>
          <w:p>
            <w:pPr>
              <w:adjustRightInd w:val="0"/>
              <w:snapToGrid w:val="0"/>
              <w:spacing w:line="54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分管领导</w:t>
            </w:r>
          </w:p>
        </w:tc>
        <w:tc>
          <w:tcPr>
            <w:tcW w:w="5632" w:type="dxa"/>
            <w:gridSpan w:val="3"/>
            <w:tcBorders>
              <w:top w:val="single" w:color="auto" w:sz="4" w:space="0"/>
              <w:left w:val="nil"/>
              <w:bottom w:val="single" w:color="auto" w:sz="4" w:space="0"/>
              <w:right w:val="single" w:color="000000" w:sz="4" w:space="0"/>
            </w:tcBorders>
            <w:noWrap/>
            <w:vAlign w:val="center"/>
          </w:tcPr>
          <w:p>
            <w:pPr>
              <w:adjustRightInd w:val="0"/>
              <w:snapToGrid w:val="0"/>
              <w:spacing w:line="54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科室负责人</w:t>
            </w:r>
          </w:p>
        </w:tc>
      </w:tr>
      <w:tr>
        <w:tblPrEx>
          <w:tblCellMar>
            <w:top w:w="0" w:type="dxa"/>
            <w:left w:w="108" w:type="dxa"/>
            <w:bottom w:w="0" w:type="dxa"/>
            <w:right w:w="108" w:type="dxa"/>
          </w:tblCellMar>
        </w:tblPrEx>
        <w:trPr>
          <w:trHeight w:val="280" w:hRule="atLeast"/>
        </w:trPr>
        <w:tc>
          <w:tcPr>
            <w:tcW w:w="2008"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360" w:lineRule="exact"/>
              <w:jc w:val="center"/>
              <w:rPr>
                <w:rFonts w:hint="eastAsia" w:ascii="方正黑体_GBK" w:hAnsi="Times New Roman" w:eastAsia="方正黑体_GBK" w:cs="Times New Roman"/>
                <w:color w:val="000000"/>
                <w:kern w:val="0"/>
                <w:sz w:val="28"/>
                <w:szCs w:val="28"/>
              </w:rPr>
            </w:pPr>
          </w:p>
        </w:tc>
        <w:tc>
          <w:tcPr>
            <w:tcW w:w="1800"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360" w:lineRule="exact"/>
              <w:jc w:val="center"/>
              <w:rPr>
                <w:rFonts w:hint="eastAsia" w:ascii="方正黑体_GBK" w:hAnsi="Times New Roman" w:eastAsia="方正黑体_GBK" w:cs="Times New Roman"/>
                <w:color w:val="000000"/>
                <w:kern w:val="0"/>
                <w:sz w:val="28"/>
                <w:szCs w:val="28"/>
              </w:rPr>
            </w:pPr>
          </w:p>
        </w:tc>
        <w:tc>
          <w:tcPr>
            <w:tcW w:w="1500" w:type="dxa"/>
            <w:tcBorders>
              <w:top w:val="nil"/>
              <w:left w:val="nil"/>
              <w:bottom w:val="single" w:color="auto" w:sz="4" w:space="0"/>
              <w:right w:val="single" w:color="auto" w:sz="4" w:space="0"/>
            </w:tcBorders>
            <w:noWrap/>
            <w:vAlign w:val="center"/>
          </w:tcPr>
          <w:p>
            <w:pPr>
              <w:adjustRightInd w:val="0"/>
              <w:snapToGrid w:val="0"/>
              <w:spacing w:line="54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姓  名</w:t>
            </w:r>
          </w:p>
        </w:tc>
        <w:tc>
          <w:tcPr>
            <w:tcW w:w="1500" w:type="dxa"/>
            <w:tcBorders>
              <w:top w:val="nil"/>
              <w:left w:val="nil"/>
              <w:bottom w:val="single" w:color="auto" w:sz="4" w:space="0"/>
              <w:right w:val="single" w:color="auto" w:sz="4" w:space="0"/>
            </w:tcBorders>
            <w:noWrap w:val="0"/>
            <w:vAlign w:val="center"/>
          </w:tcPr>
          <w:p>
            <w:pPr>
              <w:adjustRightInd w:val="0"/>
              <w:snapToGrid w:val="0"/>
              <w:spacing w:line="54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职  务</w:t>
            </w:r>
          </w:p>
        </w:tc>
        <w:tc>
          <w:tcPr>
            <w:tcW w:w="1888" w:type="dxa"/>
            <w:tcBorders>
              <w:top w:val="nil"/>
              <w:left w:val="nil"/>
              <w:bottom w:val="single" w:color="auto" w:sz="4" w:space="0"/>
              <w:right w:val="single" w:color="auto" w:sz="4" w:space="0"/>
            </w:tcBorders>
            <w:noWrap/>
            <w:vAlign w:val="center"/>
          </w:tcPr>
          <w:p>
            <w:pPr>
              <w:adjustRightInd w:val="0"/>
              <w:snapToGrid w:val="0"/>
              <w:spacing w:line="54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电话</w:t>
            </w:r>
          </w:p>
        </w:tc>
        <w:tc>
          <w:tcPr>
            <w:tcW w:w="1512" w:type="dxa"/>
            <w:tcBorders>
              <w:top w:val="nil"/>
              <w:left w:val="nil"/>
              <w:bottom w:val="single" w:color="auto" w:sz="4" w:space="0"/>
              <w:right w:val="single" w:color="auto" w:sz="4" w:space="0"/>
            </w:tcBorders>
            <w:noWrap/>
            <w:vAlign w:val="center"/>
          </w:tcPr>
          <w:p>
            <w:pPr>
              <w:adjustRightInd w:val="0"/>
              <w:snapToGrid w:val="0"/>
              <w:spacing w:line="54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姓  名</w:t>
            </w:r>
          </w:p>
        </w:tc>
        <w:tc>
          <w:tcPr>
            <w:tcW w:w="2100" w:type="dxa"/>
            <w:tcBorders>
              <w:top w:val="nil"/>
              <w:left w:val="nil"/>
              <w:bottom w:val="single" w:color="auto" w:sz="4" w:space="0"/>
              <w:right w:val="single" w:color="auto" w:sz="4" w:space="0"/>
            </w:tcBorders>
            <w:noWrap/>
            <w:vAlign w:val="center"/>
          </w:tcPr>
          <w:p>
            <w:pPr>
              <w:adjustRightInd w:val="0"/>
              <w:snapToGrid w:val="0"/>
              <w:spacing w:line="54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科  室</w:t>
            </w:r>
          </w:p>
        </w:tc>
        <w:tc>
          <w:tcPr>
            <w:tcW w:w="2020" w:type="dxa"/>
            <w:tcBorders>
              <w:top w:val="nil"/>
              <w:left w:val="nil"/>
              <w:bottom w:val="single" w:color="auto" w:sz="4" w:space="0"/>
              <w:right w:val="single" w:color="auto" w:sz="4" w:space="0"/>
            </w:tcBorders>
            <w:noWrap/>
            <w:vAlign w:val="center"/>
          </w:tcPr>
          <w:p>
            <w:pPr>
              <w:adjustRightInd w:val="0"/>
              <w:snapToGrid w:val="0"/>
              <w:spacing w:line="540" w:lineRule="exact"/>
              <w:jc w:val="center"/>
              <w:rPr>
                <w:rFonts w:hint="eastAsia" w:ascii="方正黑体_GBK" w:hAnsi="Times New Roman" w:eastAsia="方正黑体_GBK" w:cs="Times New Roman"/>
                <w:color w:val="000000"/>
                <w:kern w:val="0"/>
                <w:sz w:val="28"/>
                <w:szCs w:val="28"/>
              </w:rPr>
            </w:pPr>
            <w:r>
              <w:rPr>
                <w:rFonts w:hint="eastAsia" w:ascii="方正黑体_GBK" w:hAnsi="Times New Roman" w:eastAsia="方正黑体_GBK" w:cs="Times New Roman"/>
                <w:color w:val="000000"/>
                <w:kern w:val="0"/>
                <w:sz w:val="28"/>
                <w:szCs w:val="28"/>
              </w:rPr>
              <w:t>电  话</w:t>
            </w:r>
          </w:p>
        </w:tc>
      </w:tr>
      <w:tr>
        <w:tblPrEx>
          <w:tblCellMar>
            <w:top w:w="0" w:type="dxa"/>
            <w:left w:w="108" w:type="dxa"/>
            <w:bottom w:w="0" w:type="dxa"/>
            <w:right w:w="108" w:type="dxa"/>
          </w:tblCellMar>
        </w:tblPrEx>
        <w:trPr>
          <w:trHeight w:val="597" w:hRule="atLeast"/>
        </w:trPr>
        <w:tc>
          <w:tcPr>
            <w:tcW w:w="2008" w:type="dxa"/>
            <w:tcBorders>
              <w:top w:val="nil"/>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县发展改革委</w:t>
            </w:r>
          </w:p>
        </w:tc>
        <w:tc>
          <w:tcPr>
            <w:tcW w:w="1800" w:type="dxa"/>
            <w:tcBorders>
              <w:top w:val="nil"/>
              <w:left w:val="nil"/>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73332205</w:t>
            </w:r>
          </w:p>
        </w:tc>
        <w:tc>
          <w:tcPr>
            <w:tcW w:w="1500" w:type="dxa"/>
            <w:tcBorders>
              <w:top w:val="nil"/>
              <w:left w:val="nil"/>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都成军</w:t>
            </w:r>
          </w:p>
        </w:tc>
        <w:tc>
          <w:tcPr>
            <w:tcW w:w="1500" w:type="dxa"/>
            <w:tcBorders>
              <w:top w:val="nil"/>
              <w:left w:val="nil"/>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副主任</w:t>
            </w:r>
          </w:p>
        </w:tc>
        <w:tc>
          <w:tcPr>
            <w:tcW w:w="1888"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15</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10</w:t>
            </w:r>
          </w:p>
        </w:tc>
        <w:tc>
          <w:tcPr>
            <w:tcW w:w="1512" w:type="dxa"/>
            <w:tcBorders>
              <w:top w:val="nil"/>
              <w:left w:val="nil"/>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汪玲宇</w:t>
            </w:r>
          </w:p>
        </w:tc>
        <w:tc>
          <w:tcPr>
            <w:tcW w:w="2100" w:type="dxa"/>
            <w:tcBorders>
              <w:top w:val="nil"/>
              <w:left w:val="nil"/>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环境和能源科</w:t>
            </w:r>
          </w:p>
        </w:tc>
        <w:tc>
          <w:tcPr>
            <w:tcW w:w="2020" w:type="dxa"/>
            <w:tcBorders>
              <w:top w:val="nil"/>
              <w:left w:val="nil"/>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13</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58</w:t>
            </w:r>
          </w:p>
        </w:tc>
      </w:tr>
      <w:tr>
        <w:tblPrEx>
          <w:tblCellMar>
            <w:top w:w="0" w:type="dxa"/>
            <w:left w:w="108" w:type="dxa"/>
            <w:bottom w:w="0" w:type="dxa"/>
            <w:right w:w="108" w:type="dxa"/>
          </w:tblCellMar>
        </w:tblPrEx>
        <w:trPr>
          <w:trHeight w:val="598" w:hRule="atLeast"/>
        </w:trPr>
        <w:tc>
          <w:tcPr>
            <w:tcW w:w="2008" w:type="dxa"/>
            <w:tcBorders>
              <w:top w:val="nil"/>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黄水镇政府</w:t>
            </w:r>
          </w:p>
        </w:tc>
        <w:tc>
          <w:tcPr>
            <w:tcW w:w="18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73391001</w:t>
            </w:r>
          </w:p>
        </w:tc>
        <w:tc>
          <w:tcPr>
            <w:tcW w:w="1500"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谭</w:t>
            </w:r>
            <w:r>
              <w:rPr>
                <w:rFonts w:hint="eastAsia" w:ascii="Times New Roman" w:hAnsi="Times New Roman" w:eastAsia="方正仿宋_GBK" w:cs="Times New Roman"/>
                <w:color w:val="000000"/>
                <w:kern w:val="0"/>
                <w:sz w:val="28"/>
                <w:szCs w:val="28"/>
              </w:rPr>
              <w:t xml:space="preserve">  </w:t>
            </w:r>
            <w:r>
              <w:rPr>
                <w:rFonts w:ascii="Times New Roman" w:hAnsi="Times New Roman" w:eastAsia="方正仿宋_GBK" w:cs="Times New Roman"/>
                <w:color w:val="000000"/>
                <w:kern w:val="0"/>
                <w:sz w:val="28"/>
                <w:szCs w:val="28"/>
              </w:rPr>
              <w:t>盛</w:t>
            </w:r>
          </w:p>
        </w:tc>
        <w:tc>
          <w:tcPr>
            <w:tcW w:w="1500" w:type="dxa"/>
            <w:tcBorders>
              <w:top w:val="nil"/>
              <w:left w:val="nil"/>
              <w:bottom w:val="single" w:color="000000" w:sz="4" w:space="0"/>
              <w:right w:val="single" w:color="000000"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组织委员</w:t>
            </w:r>
          </w:p>
        </w:tc>
        <w:tc>
          <w:tcPr>
            <w:tcW w:w="1888"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13</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00</w:t>
            </w:r>
          </w:p>
        </w:tc>
        <w:tc>
          <w:tcPr>
            <w:tcW w:w="1512"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马培锡</w:t>
            </w:r>
          </w:p>
        </w:tc>
        <w:tc>
          <w:tcPr>
            <w:tcW w:w="21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经发办</w:t>
            </w:r>
          </w:p>
        </w:tc>
        <w:tc>
          <w:tcPr>
            <w:tcW w:w="202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13</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40</w:t>
            </w:r>
          </w:p>
        </w:tc>
      </w:tr>
      <w:tr>
        <w:tblPrEx>
          <w:tblCellMar>
            <w:top w:w="0" w:type="dxa"/>
            <w:left w:w="108" w:type="dxa"/>
            <w:bottom w:w="0" w:type="dxa"/>
            <w:right w:w="108" w:type="dxa"/>
          </w:tblCellMar>
        </w:tblPrEx>
        <w:trPr>
          <w:trHeight w:val="598" w:hRule="atLeast"/>
        </w:trPr>
        <w:tc>
          <w:tcPr>
            <w:tcW w:w="2008" w:type="dxa"/>
            <w:tcBorders>
              <w:top w:val="nil"/>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王场镇政府</w:t>
            </w:r>
          </w:p>
        </w:tc>
        <w:tc>
          <w:tcPr>
            <w:tcW w:w="18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73366001</w:t>
            </w:r>
          </w:p>
        </w:tc>
        <w:tc>
          <w:tcPr>
            <w:tcW w:w="15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谭</w:t>
            </w:r>
            <w:r>
              <w:rPr>
                <w:rFonts w:hint="eastAsia" w:ascii="Times New Roman" w:hAnsi="Times New Roman" w:eastAsia="方正仿宋_GBK" w:cs="Times New Roman"/>
                <w:color w:val="000000"/>
                <w:kern w:val="0"/>
                <w:sz w:val="28"/>
                <w:szCs w:val="28"/>
              </w:rPr>
              <w:t xml:space="preserve">  </w:t>
            </w:r>
            <w:r>
              <w:rPr>
                <w:rFonts w:ascii="Times New Roman" w:hAnsi="Times New Roman" w:eastAsia="方正仿宋_GBK" w:cs="Times New Roman"/>
                <w:color w:val="000000"/>
                <w:kern w:val="0"/>
                <w:sz w:val="28"/>
                <w:szCs w:val="28"/>
              </w:rPr>
              <w:t>君</w:t>
            </w:r>
          </w:p>
        </w:tc>
        <w:tc>
          <w:tcPr>
            <w:tcW w:w="1500" w:type="dxa"/>
            <w:tcBorders>
              <w:top w:val="nil"/>
              <w:left w:val="nil"/>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人大主席</w:t>
            </w:r>
          </w:p>
        </w:tc>
        <w:tc>
          <w:tcPr>
            <w:tcW w:w="1888"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13</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00</w:t>
            </w:r>
          </w:p>
        </w:tc>
        <w:tc>
          <w:tcPr>
            <w:tcW w:w="1512"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段菲</w:t>
            </w:r>
          </w:p>
        </w:tc>
        <w:tc>
          <w:tcPr>
            <w:tcW w:w="21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经发办</w:t>
            </w:r>
          </w:p>
        </w:tc>
        <w:tc>
          <w:tcPr>
            <w:tcW w:w="202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15</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01</w:t>
            </w:r>
          </w:p>
        </w:tc>
      </w:tr>
      <w:tr>
        <w:tblPrEx>
          <w:tblCellMar>
            <w:top w:w="0" w:type="dxa"/>
            <w:left w:w="108" w:type="dxa"/>
            <w:bottom w:w="0" w:type="dxa"/>
            <w:right w:w="108" w:type="dxa"/>
          </w:tblCellMar>
        </w:tblPrEx>
        <w:trPr>
          <w:trHeight w:val="598" w:hRule="atLeast"/>
        </w:trPr>
        <w:tc>
          <w:tcPr>
            <w:tcW w:w="2008" w:type="dxa"/>
            <w:tcBorders>
              <w:top w:val="nil"/>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沿溪镇政府</w:t>
            </w:r>
          </w:p>
        </w:tc>
        <w:tc>
          <w:tcPr>
            <w:tcW w:w="18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73367001</w:t>
            </w:r>
          </w:p>
        </w:tc>
        <w:tc>
          <w:tcPr>
            <w:tcW w:w="1500"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陈</w:t>
            </w:r>
            <w:r>
              <w:rPr>
                <w:rFonts w:hint="eastAsia" w:ascii="Times New Roman" w:hAnsi="Times New Roman" w:eastAsia="方正仿宋_GBK" w:cs="Times New Roman"/>
                <w:color w:val="000000"/>
                <w:kern w:val="0"/>
                <w:sz w:val="28"/>
                <w:szCs w:val="28"/>
              </w:rPr>
              <w:t xml:space="preserve">  </w:t>
            </w:r>
            <w:r>
              <w:rPr>
                <w:rFonts w:ascii="Times New Roman" w:hAnsi="Times New Roman" w:eastAsia="方正仿宋_GBK" w:cs="Times New Roman"/>
                <w:color w:val="000000"/>
                <w:kern w:val="0"/>
                <w:sz w:val="28"/>
                <w:szCs w:val="28"/>
              </w:rPr>
              <w:t>沛</w:t>
            </w:r>
          </w:p>
        </w:tc>
        <w:tc>
          <w:tcPr>
            <w:tcW w:w="1500" w:type="dxa"/>
            <w:tcBorders>
              <w:top w:val="nil"/>
              <w:left w:val="nil"/>
              <w:bottom w:val="single" w:color="000000" w:sz="4" w:space="0"/>
              <w:right w:val="single" w:color="000000"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武装部长</w:t>
            </w:r>
          </w:p>
        </w:tc>
        <w:tc>
          <w:tcPr>
            <w:tcW w:w="1888"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15</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55</w:t>
            </w:r>
          </w:p>
        </w:tc>
        <w:tc>
          <w:tcPr>
            <w:tcW w:w="1512"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hint="eastAsia"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张平</w:t>
            </w:r>
          </w:p>
        </w:tc>
        <w:tc>
          <w:tcPr>
            <w:tcW w:w="21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经发办</w:t>
            </w:r>
          </w:p>
        </w:tc>
        <w:tc>
          <w:tcPr>
            <w:tcW w:w="202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hint="eastAsia" w:ascii="Times New Roman" w:hAnsi="Times New Roman" w:eastAsia="方正仿宋_GBK" w:cs="Times New Roman"/>
                <w:color w:val="000000"/>
                <w:kern w:val="0"/>
                <w:sz w:val="28"/>
                <w:szCs w:val="28"/>
              </w:rPr>
              <w:t>15</w:t>
            </w:r>
            <w:r>
              <w:rPr>
                <w:rFonts w:hint="eastAsia" w:ascii="Times New Roman" w:hAnsi="Times New Roman" w:eastAsia="方正仿宋_GBK" w:cs="Times New Roman"/>
                <w:color w:val="000000"/>
                <w:kern w:val="0"/>
                <w:sz w:val="28"/>
                <w:szCs w:val="28"/>
                <w:lang w:val="en-US" w:eastAsia="zh-CN"/>
              </w:rPr>
              <w:t>*******</w:t>
            </w:r>
            <w:r>
              <w:rPr>
                <w:rFonts w:hint="eastAsia" w:ascii="Times New Roman" w:hAnsi="Times New Roman" w:eastAsia="方正仿宋_GBK" w:cs="Times New Roman"/>
                <w:color w:val="000000"/>
                <w:kern w:val="0"/>
                <w:sz w:val="28"/>
                <w:szCs w:val="28"/>
              </w:rPr>
              <w:t>49</w:t>
            </w:r>
          </w:p>
        </w:tc>
      </w:tr>
      <w:tr>
        <w:tblPrEx>
          <w:tblCellMar>
            <w:top w:w="0" w:type="dxa"/>
            <w:left w:w="108" w:type="dxa"/>
            <w:bottom w:w="0" w:type="dxa"/>
            <w:right w:w="108" w:type="dxa"/>
          </w:tblCellMar>
        </w:tblPrEx>
        <w:trPr>
          <w:trHeight w:val="597" w:hRule="atLeast"/>
        </w:trPr>
        <w:tc>
          <w:tcPr>
            <w:tcW w:w="2008" w:type="dxa"/>
            <w:tcBorders>
              <w:top w:val="nil"/>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鱼池镇政府</w:t>
            </w:r>
          </w:p>
        </w:tc>
        <w:tc>
          <w:tcPr>
            <w:tcW w:w="18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73384001</w:t>
            </w:r>
          </w:p>
        </w:tc>
        <w:tc>
          <w:tcPr>
            <w:tcW w:w="1500"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黎昌兵</w:t>
            </w:r>
          </w:p>
        </w:tc>
        <w:tc>
          <w:tcPr>
            <w:tcW w:w="1500" w:type="dxa"/>
            <w:tcBorders>
              <w:top w:val="nil"/>
              <w:left w:val="nil"/>
              <w:bottom w:val="single" w:color="000000" w:sz="4" w:space="0"/>
              <w:right w:val="single" w:color="000000"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副镇长</w:t>
            </w:r>
          </w:p>
        </w:tc>
        <w:tc>
          <w:tcPr>
            <w:tcW w:w="1888"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13</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94</w:t>
            </w:r>
          </w:p>
        </w:tc>
        <w:tc>
          <w:tcPr>
            <w:tcW w:w="1512"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余奥林</w:t>
            </w:r>
          </w:p>
        </w:tc>
        <w:tc>
          <w:tcPr>
            <w:tcW w:w="2100"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应急办</w:t>
            </w:r>
          </w:p>
        </w:tc>
        <w:tc>
          <w:tcPr>
            <w:tcW w:w="2020"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15</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81</w:t>
            </w:r>
          </w:p>
        </w:tc>
      </w:tr>
      <w:tr>
        <w:tblPrEx>
          <w:tblCellMar>
            <w:top w:w="0" w:type="dxa"/>
            <w:left w:w="108" w:type="dxa"/>
            <w:bottom w:w="0" w:type="dxa"/>
            <w:right w:w="108" w:type="dxa"/>
          </w:tblCellMar>
        </w:tblPrEx>
        <w:trPr>
          <w:trHeight w:val="598" w:hRule="atLeast"/>
        </w:trPr>
        <w:tc>
          <w:tcPr>
            <w:tcW w:w="2008" w:type="dxa"/>
            <w:tcBorders>
              <w:top w:val="nil"/>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万朝镇政府</w:t>
            </w:r>
          </w:p>
        </w:tc>
        <w:tc>
          <w:tcPr>
            <w:tcW w:w="18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73371001</w:t>
            </w:r>
          </w:p>
        </w:tc>
        <w:tc>
          <w:tcPr>
            <w:tcW w:w="1500" w:type="dxa"/>
            <w:tcBorders>
              <w:top w:val="nil"/>
              <w:left w:val="nil"/>
              <w:bottom w:val="single" w:color="000000" w:sz="4" w:space="0"/>
              <w:right w:val="single" w:color="000000"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冯海平</w:t>
            </w:r>
          </w:p>
        </w:tc>
        <w:tc>
          <w:tcPr>
            <w:tcW w:w="1500" w:type="dxa"/>
            <w:tcBorders>
              <w:top w:val="nil"/>
              <w:left w:val="nil"/>
              <w:bottom w:val="single" w:color="000000" w:sz="4" w:space="0"/>
              <w:right w:val="single" w:color="000000"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人大主席</w:t>
            </w:r>
          </w:p>
        </w:tc>
        <w:tc>
          <w:tcPr>
            <w:tcW w:w="1888"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17</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56</w:t>
            </w:r>
          </w:p>
        </w:tc>
        <w:tc>
          <w:tcPr>
            <w:tcW w:w="1512" w:type="dxa"/>
            <w:tcBorders>
              <w:top w:val="nil"/>
              <w:left w:val="nil"/>
              <w:bottom w:val="nil"/>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陈辉</w:t>
            </w:r>
          </w:p>
        </w:tc>
        <w:tc>
          <w:tcPr>
            <w:tcW w:w="2100" w:type="dxa"/>
            <w:tcBorders>
              <w:top w:val="nil"/>
              <w:left w:val="nil"/>
              <w:bottom w:val="nil"/>
              <w:right w:val="single" w:color="000000"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经发办</w:t>
            </w:r>
          </w:p>
        </w:tc>
        <w:tc>
          <w:tcPr>
            <w:tcW w:w="2020" w:type="dxa"/>
            <w:tcBorders>
              <w:top w:val="nil"/>
              <w:left w:val="nil"/>
              <w:bottom w:val="nil"/>
              <w:right w:val="single" w:color="000000"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15</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55</w:t>
            </w:r>
          </w:p>
        </w:tc>
      </w:tr>
      <w:tr>
        <w:tblPrEx>
          <w:tblCellMar>
            <w:top w:w="0" w:type="dxa"/>
            <w:left w:w="108" w:type="dxa"/>
            <w:bottom w:w="0" w:type="dxa"/>
            <w:right w:w="108" w:type="dxa"/>
          </w:tblCellMar>
        </w:tblPrEx>
        <w:trPr>
          <w:trHeight w:val="598" w:hRule="atLeast"/>
        </w:trPr>
        <w:tc>
          <w:tcPr>
            <w:tcW w:w="2008" w:type="dxa"/>
            <w:tcBorders>
              <w:top w:val="nil"/>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黎场乡政府</w:t>
            </w:r>
          </w:p>
        </w:tc>
        <w:tc>
          <w:tcPr>
            <w:tcW w:w="18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81501001</w:t>
            </w:r>
          </w:p>
        </w:tc>
        <w:tc>
          <w:tcPr>
            <w:tcW w:w="15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刘海峰</w:t>
            </w:r>
          </w:p>
        </w:tc>
        <w:tc>
          <w:tcPr>
            <w:tcW w:w="1500" w:type="dxa"/>
            <w:tcBorders>
              <w:top w:val="nil"/>
              <w:left w:val="nil"/>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人大主席</w:t>
            </w:r>
          </w:p>
        </w:tc>
        <w:tc>
          <w:tcPr>
            <w:tcW w:w="1888"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13</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39</w:t>
            </w:r>
          </w:p>
        </w:tc>
        <w:tc>
          <w:tcPr>
            <w:tcW w:w="1512" w:type="dxa"/>
            <w:tcBorders>
              <w:top w:val="single" w:color="000000" w:sz="4" w:space="0"/>
              <w:left w:val="single" w:color="000000" w:sz="4" w:space="0"/>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冉海英</w:t>
            </w:r>
          </w:p>
        </w:tc>
        <w:tc>
          <w:tcPr>
            <w:tcW w:w="2100" w:type="dxa"/>
            <w:tcBorders>
              <w:top w:val="single" w:color="000000" w:sz="4" w:space="0"/>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经发办</w:t>
            </w:r>
          </w:p>
        </w:tc>
        <w:tc>
          <w:tcPr>
            <w:tcW w:w="2020" w:type="dxa"/>
            <w:tcBorders>
              <w:top w:val="single" w:color="000000" w:sz="4" w:space="0"/>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15</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81</w:t>
            </w:r>
          </w:p>
        </w:tc>
      </w:tr>
      <w:tr>
        <w:tblPrEx>
          <w:tblCellMar>
            <w:top w:w="0" w:type="dxa"/>
            <w:left w:w="108" w:type="dxa"/>
            <w:bottom w:w="0" w:type="dxa"/>
            <w:right w:w="108" w:type="dxa"/>
          </w:tblCellMar>
        </w:tblPrEx>
        <w:trPr>
          <w:trHeight w:val="598" w:hRule="atLeast"/>
        </w:trPr>
        <w:tc>
          <w:tcPr>
            <w:tcW w:w="2008" w:type="dxa"/>
            <w:tcBorders>
              <w:top w:val="nil"/>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石家乡政府</w:t>
            </w:r>
          </w:p>
        </w:tc>
        <w:tc>
          <w:tcPr>
            <w:tcW w:w="18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73395001</w:t>
            </w:r>
          </w:p>
        </w:tc>
        <w:tc>
          <w:tcPr>
            <w:tcW w:w="15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付维平</w:t>
            </w:r>
          </w:p>
        </w:tc>
        <w:tc>
          <w:tcPr>
            <w:tcW w:w="1500" w:type="dxa"/>
            <w:tcBorders>
              <w:top w:val="nil"/>
              <w:left w:val="nil"/>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人大主席</w:t>
            </w:r>
          </w:p>
        </w:tc>
        <w:tc>
          <w:tcPr>
            <w:tcW w:w="1888"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15</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67</w:t>
            </w:r>
          </w:p>
        </w:tc>
        <w:tc>
          <w:tcPr>
            <w:tcW w:w="1512"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刘骞</w:t>
            </w:r>
          </w:p>
        </w:tc>
        <w:tc>
          <w:tcPr>
            <w:tcW w:w="21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应急办</w:t>
            </w:r>
          </w:p>
        </w:tc>
        <w:tc>
          <w:tcPr>
            <w:tcW w:w="202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18</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34</w:t>
            </w:r>
          </w:p>
        </w:tc>
      </w:tr>
      <w:tr>
        <w:tblPrEx>
          <w:tblCellMar>
            <w:top w:w="0" w:type="dxa"/>
            <w:left w:w="108" w:type="dxa"/>
            <w:bottom w:w="0" w:type="dxa"/>
            <w:right w:w="108" w:type="dxa"/>
          </w:tblCellMar>
        </w:tblPrEx>
        <w:trPr>
          <w:trHeight w:val="598" w:hRule="atLeast"/>
        </w:trPr>
        <w:tc>
          <w:tcPr>
            <w:tcW w:w="2008" w:type="dxa"/>
            <w:tcBorders>
              <w:top w:val="nil"/>
              <w:left w:val="single" w:color="auto" w:sz="4" w:space="0"/>
              <w:bottom w:val="single" w:color="auto" w:sz="4" w:space="0"/>
              <w:right w:val="single" w:color="auto"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枫木镇政府</w:t>
            </w:r>
          </w:p>
        </w:tc>
        <w:tc>
          <w:tcPr>
            <w:tcW w:w="18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73396001</w:t>
            </w:r>
          </w:p>
        </w:tc>
        <w:tc>
          <w:tcPr>
            <w:tcW w:w="1500"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曹正伟</w:t>
            </w:r>
          </w:p>
        </w:tc>
        <w:tc>
          <w:tcPr>
            <w:tcW w:w="1500" w:type="dxa"/>
            <w:tcBorders>
              <w:top w:val="nil"/>
              <w:left w:val="nil"/>
              <w:bottom w:val="single" w:color="000000" w:sz="4" w:space="0"/>
              <w:right w:val="single" w:color="000000" w:sz="4" w:space="0"/>
            </w:tcBorders>
            <w:noWrap w:val="0"/>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人大主席</w:t>
            </w:r>
          </w:p>
        </w:tc>
        <w:tc>
          <w:tcPr>
            <w:tcW w:w="1888" w:type="dxa"/>
            <w:tcBorders>
              <w:top w:val="nil"/>
              <w:left w:val="nil"/>
              <w:bottom w:val="single" w:color="000000" w:sz="4" w:space="0"/>
              <w:right w:val="single" w:color="000000"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15</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41</w:t>
            </w:r>
          </w:p>
        </w:tc>
        <w:tc>
          <w:tcPr>
            <w:tcW w:w="1512"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丁仲华</w:t>
            </w:r>
          </w:p>
        </w:tc>
        <w:tc>
          <w:tcPr>
            <w:tcW w:w="210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经发办</w:t>
            </w:r>
          </w:p>
        </w:tc>
        <w:tc>
          <w:tcPr>
            <w:tcW w:w="2020" w:type="dxa"/>
            <w:tcBorders>
              <w:top w:val="nil"/>
              <w:left w:val="nil"/>
              <w:bottom w:val="single" w:color="auto" w:sz="4" w:space="0"/>
              <w:right w:val="single" w:color="auto" w:sz="4" w:space="0"/>
            </w:tcBorders>
            <w:noWrap/>
            <w:vAlign w:val="center"/>
          </w:tcPr>
          <w:p>
            <w:pPr>
              <w:adjustRightInd w:val="0"/>
              <w:snapToGrid w:val="0"/>
              <w:spacing w:line="360" w:lineRule="exact"/>
              <w:jc w:val="center"/>
              <w:rPr>
                <w:rFonts w:ascii="Times New Roman" w:hAnsi="Times New Roman" w:eastAsia="方正仿宋_GBK" w:cs="Times New Roman"/>
                <w:color w:val="000000"/>
                <w:kern w:val="0"/>
                <w:sz w:val="28"/>
                <w:szCs w:val="28"/>
              </w:rPr>
            </w:pPr>
            <w:r>
              <w:rPr>
                <w:rFonts w:ascii="Times New Roman" w:hAnsi="Times New Roman" w:eastAsia="方正仿宋_GBK" w:cs="Times New Roman"/>
                <w:color w:val="000000"/>
                <w:kern w:val="0"/>
                <w:sz w:val="28"/>
                <w:szCs w:val="28"/>
              </w:rPr>
              <w:t>17</w:t>
            </w:r>
            <w:r>
              <w:rPr>
                <w:rFonts w:hint="eastAsia" w:ascii="Times New Roman" w:hAnsi="Times New Roman" w:eastAsia="方正仿宋_GBK" w:cs="Times New Roman"/>
                <w:color w:val="000000"/>
                <w:kern w:val="0"/>
                <w:sz w:val="28"/>
                <w:szCs w:val="28"/>
                <w:lang w:val="en-US" w:eastAsia="zh-CN"/>
              </w:rPr>
              <w:t>*******</w:t>
            </w:r>
            <w:r>
              <w:rPr>
                <w:rFonts w:ascii="Times New Roman" w:hAnsi="Times New Roman" w:eastAsia="方正仿宋_GBK" w:cs="Times New Roman"/>
                <w:color w:val="000000"/>
                <w:kern w:val="0"/>
                <w:sz w:val="28"/>
                <w:szCs w:val="28"/>
              </w:rPr>
              <w:t>76</w:t>
            </w:r>
          </w:p>
        </w:tc>
      </w:tr>
    </w:tbl>
    <w:p>
      <w:pPr>
        <w:widowControl/>
        <w:rPr>
          <w:rFonts w:ascii="Times New Roman" w:hAnsi="Times New Roman" w:eastAsia="宋体" w:cs="Times New Roman"/>
          <w:kern w:val="0"/>
          <w:sz w:val="28"/>
          <w:szCs w:val="28"/>
        </w:rPr>
      </w:pPr>
      <w:r>
        <w:rPr>
          <w:rFonts w:hint="eastAsia" w:ascii="方正仿宋_GBK" w:hAnsi="方正仿宋_GBK" w:eastAsia="方正仿宋_GBK" w:cs="方正仿宋_GBK"/>
          <w:color w:val="000000"/>
          <w:kern w:val="0"/>
          <w:sz w:val="28"/>
          <w:szCs w:val="28"/>
          <w:lang w:bidi="ar"/>
        </w:rPr>
        <w:t>（注</w:t>
      </w:r>
      <w:r>
        <w:rPr>
          <w:rFonts w:hint="eastAsia" w:ascii="方正仿宋_GBK" w:hAnsi="方正仿宋_GBK" w:eastAsia="方正仿宋_GBK" w:cs="方正仿宋_GBK"/>
          <w:color w:val="000000"/>
          <w:kern w:val="0"/>
          <w:sz w:val="28"/>
          <w:szCs w:val="28"/>
          <w:lang w:eastAsia="zh-CN" w:bidi="ar"/>
        </w:rPr>
        <w:t>：</w:t>
      </w:r>
      <w:r>
        <w:rPr>
          <w:rFonts w:ascii="方正仿宋_GBK" w:hAnsi="方正仿宋_GBK" w:eastAsia="方正仿宋_GBK" w:cs="方正仿宋_GBK"/>
          <w:color w:val="000000"/>
          <w:kern w:val="0"/>
          <w:sz w:val="28"/>
          <w:szCs w:val="28"/>
          <w:lang w:bidi="ar"/>
        </w:rPr>
        <w:t>以上联系人和联系电话为动态信息，如发生变化，以实际情况为准。</w:t>
      </w:r>
      <w:r>
        <w:rPr>
          <w:rFonts w:hint="eastAsia" w:ascii="方正仿宋_GBK" w:hAnsi="方正仿宋_GBK" w:eastAsia="方正仿宋_GBK" w:cs="方正仿宋_GBK"/>
          <w:color w:val="000000"/>
          <w:kern w:val="0"/>
          <w:sz w:val="28"/>
          <w:szCs w:val="28"/>
          <w:lang w:bidi="ar"/>
        </w:rPr>
        <w:t>）</w:t>
      </w:r>
    </w:p>
    <w:p>
      <w:pPr>
        <w:rPr>
          <w:rFonts w:hint="eastAsia" w:ascii="Times New Roman" w:hAnsi="Times New Roman" w:eastAsia="宋体" w:cs="Times New Roman"/>
          <w:kern w:val="0"/>
          <w:sz w:val="20"/>
          <w:szCs w:val="20"/>
          <w:lang w:val="zh-CN"/>
        </w:rPr>
      </w:pPr>
    </w:p>
    <w:p>
      <w:pPr>
        <w:pStyle w:val="16"/>
        <w:pageBreakBefore/>
        <w:adjustRightInd w:val="0"/>
        <w:snapToGrid w:val="0"/>
        <w:spacing w:before="120" w:after="120" w:line="560" w:lineRule="exact"/>
        <w:rPr>
          <w:rFonts w:hint="eastAsia" w:ascii="方正楷体_GBK" w:hAnsi="Times New Roman" w:eastAsia="方正楷体_GBK"/>
          <w:bCs/>
          <w:kern w:val="0"/>
          <w:lang w:val="zh-CN"/>
        </w:rPr>
      </w:pPr>
      <w:bookmarkStart w:id="104" w:name="_Toc15567"/>
      <w:r>
        <w:rPr>
          <w:rFonts w:hint="eastAsia" w:ascii="方正楷体_GBK" w:hAnsi="Times New Roman" w:eastAsia="方正楷体_GBK"/>
          <w:bCs/>
          <w:kern w:val="0"/>
          <w:lang w:val="zh-CN"/>
        </w:rPr>
        <w:t>9.</w:t>
      </w:r>
      <w:r>
        <w:rPr>
          <w:rFonts w:hint="eastAsia" w:ascii="方正楷体_GBK" w:hAnsi="Times New Roman" w:eastAsia="方正楷体_GBK"/>
          <w:bCs/>
          <w:kern w:val="0"/>
          <w:lang w:val="en-US" w:eastAsia="zh-CN"/>
        </w:rPr>
        <w:t>6</w:t>
      </w:r>
      <w:r>
        <w:rPr>
          <w:rFonts w:hint="eastAsia" w:ascii="方正楷体_GBK" w:hAnsi="Times New Roman" w:eastAsia="方正楷体_GBK"/>
          <w:bCs/>
          <w:kern w:val="0"/>
          <w:lang w:val="zh-CN"/>
        </w:rPr>
        <w:t xml:space="preserve">  石柱县油气长输管道安全企业通讯录</w:t>
      </w:r>
      <w:bookmarkEnd w:id="104"/>
    </w:p>
    <w:tbl>
      <w:tblPr>
        <w:tblStyle w:val="12"/>
        <w:tblW w:w="14518" w:type="dxa"/>
        <w:tblInd w:w="113" w:type="dxa"/>
        <w:tblLayout w:type="fixed"/>
        <w:tblCellMar>
          <w:top w:w="0" w:type="dxa"/>
          <w:left w:w="108" w:type="dxa"/>
          <w:bottom w:w="0" w:type="dxa"/>
          <w:right w:w="108" w:type="dxa"/>
        </w:tblCellMar>
      </w:tblPr>
      <w:tblGrid>
        <w:gridCol w:w="1364"/>
        <w:gridCol w:w="2697"/>
        <w:gridCol w:w="3332"/>
        <w:gridCol w:w="1110"/>
        <w:gridCol w:w="1586"/>
        <w:gridCol w:w="1646"/>
        <w:gridCol w:w="1110"/>
        <w:gridCol w:w="1673"/>
      </w:tblGrid>
      <w:tr>
        <w:tblPrEx>
          <w:tblCellMar>
            <w:top w:w="0" w:type="dxa"/>
            <w:left w:w="108" w:type="dxa"/>
            <w:bottom w:w="0" w:type="dxa"/>
            <w:right w:w="108" w:type="dxa"/>
          </w:tblCellMar>
        </w:tblPrEx>
        <w:trPr>
          <w:trHeight w:val="290" w:hRule="atLeast"/>
        </w:trPr>
        <w:tc>
          <w:tcPr>
            <w:tcW w:w="1364" w:type="dxa"/>
            <w:vMerge w:val="restart"/>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3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管道名称</w:t>
            </w:r>
          </w:p>
        </w:tc>
        <w:tc>
          <w:tcPr>
            <w:tcW w:w="2697" w:type="dxa"/>
            <w:vMerge w:val="restart"/>
            <w:tcBorders>
              <w:top w:val="single" w:color="auto" w:sz="4" w:space="0"/>
              <w:left w:val="single" w:color="auto" w:sz="4" w:space="0"/>
              <w:bottom w:val="single" w:color="000000" w:sz="4" w:space="0"/>
              <w:right w:val="single" w:color="auto" w:sz="4" w:space="0"/>
            </w:tcBorders>
            <w:noWrap/>
            <w:vAlign w:val="center"/>
          </w:tcPr>
          <w:p>
            <w:pPr>
              <w:adjustRightInd w:val="0"/>
              <w:snapToGrid w:val="0"/>
              <w:spacing w:line="3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所属企业</w:t>
            </w:r>
          </w:p>
        </w:tc>
        <w:tc>
          <w:tcPr>
            <w:tcW w:w="3332" w:type="dxa"/>
            <w:vMerge w:val="restart"/>
            <w:tcBorders>
              <w:top w:val="single" w:color="auto" w:sz="4" w:space="0"/>
              <w:left w:val="single" w:color="auto" w:sz="4" w:space="0"/>
              <w:bottom w:val="single" w:color="000000" w:sz="4" w:space="0"/>
              <w:right w:val="single" w:color="auto" w:sz="4" w:space="0"/>
            </w:tcBorders>
            <w:noWrap/>
            <w:vAlign w:val="center"/>
          </w:tcPr>
          <w:p>
            <w:pPr>
              <w:adjustRightInd w:val="0"/>
              <w:snapToGrid w:val="0"/>
              <w:spacing w:line="3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管道走向</w:t>
            </w:r>
          </w:p>
        </w:tc>
        <w:tc>
          <w:tcPr>
            <w:tcW w:w="4342" w:type="dxa"/>
            <w:gridSpan w:val="3"/>
            <w:tcBorders>
              <w:top w:val="single" w:color="auto" w:sz="4" w:space="0"/>
              <w:left w:val="nil"/>
              <w:bottom w:val="single" w:color="auto" w:sz="4" w:space="0"/>
              <w:right w:val="single" w:color="000000" w:sz="4" w:space="0"/>
            </w:tcBorders>
            <w:noWrap w:val="0"/>
            <w:vAlign w:val="center"/>
          </w:tcPr>
          <w:p>
            <w:pPr>
              <w:adjustRightInd w:val="0"/>
              <w:snapToGrid w:val="0"/>
              <w:spacing w:line="4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石柱片区安全分管领导</w:t>
            </w:r>
          </w:p>
        </w:tc>
        <w:tc>
          <w:tcPr>
            <w:tcW w:w="2783" w:type="dxa"/>
            <w:gridSpan w:val="2"/>
            <w:tcBorders>
              <w:top w:val="single" w:color="auto" w:sz="4" w:space="0"/>
              <w:left w:val="nil"/>
              <w:bottom w:val="single" w:color="auto" w:sz="4" w:space="0"/>
              <w:right w:val="single" w:color="000000" w:sz="4" w:space="0"/>
            </w:tcBorders>
            <w:noWrap/>
            <w:vAlign w:val="center"/>
          </w:tcPr>
          <w:p>
            <w:pPr>
              <w:adjustRightInd w:val="0"/>
              <w:snapToGrid w:val="0"/>
              <w:spacing w:line="4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石柱片区具体负责人</w:t>
            </w:r>
          </w:p>
        </w:tc>
      </w:tr>
      <w:tr>
        <w:tblPrEx>
          <w:tblCellMar>
            <w:top w:w="0" w:type="dxa"/>
            <w:left w:w="108" w:type="dxa"/>
            <w:bottom w:w="0" w:type="dxa"/>
            <w:right w:w="108" w:type="dxa"/>
          </w:tblCellMar>
        </w:tblPrEx>
        <w:trPr>
          <w:trHeight w:val="290" w:hRule="atLeast"/>
        </w:trPr>
        <w:tc>
          <w:tcPr>
            <w:tcW w:w="1364"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380" w:lineRule="exact"/>
              <w:jc w:val="center"/>
              <w:rPr>
                <w:rFonts w:hint="eastAsia" w:ascii="方正黑体_GBK" w:hAnsi="Times New Roman" w:eastAsia="方正黑体_GBK" w:cs="Times New Roman"/>
                <w:color w:val="000000"/>
                <w:kern w:val="0"/>
                <w:sz w:val="26"/>
                <w:szCs w:val="26"/>
              </w:rPr>
            </w:pPr>
          </w:p>
        </w:tc>
        <w:tc>
          <w:tcPr>
            <w:tcW w:w="2697"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380" w:lineRule="exact"/>
              <w:jc w:val="center"/>
              <w:rPr>
                <w:rFonts w:hint="eastAsia" w:ascii="方正黑体_GBK" w:hAnsi="Times New Roman" w:eastAsia="方正黑体_GBK" w:cs="Times New Roman"/>
                <w:color w:val="000000"/>
                <w:kern w:val="0"/>
                <w:sz w:val="26"/>
                <w:szCs w:val="26"/>
              </w:rPr>
            </w:pPr>
          </w:p>
        </w:tc>
        <w:tc>
          <w:tcPr>
            <w:tcW w:w="3332" w:type="dxa"/>
            <w:vMerge w:val="continue"/>
            <w:tcBorders>
              <w:top w:val="single" w:color="auto" w:sz="4" w:space="0"/>
              <w:left w:val="single" w:color="auto" w:sz="4" w:space="0"/>
              <w:bottom w:val="single" w:color="000000" w:sz="4" w:space="0"/>
              <w:right w:val="single" w:color="auto" w:sz="4" w:space="0"/>
            </w:tcBorders>
            <w:noWrap w:val="0"/>
            <w:vAlign w:val="center"/>
          </w:tcPr>
          <w:p>
            <w:pPr>
              <w:adjustRightInd w:val="0"/>
              <w:snapToGrid w:val="0"/>
              <w:spacing w:line="380" w:lineRule="exact"/>
              <w:jc w:val="center"/>
              <w:rPr>
                <w:rFonts w:hint="eastAsia" w:ascii="方正黑体_GBK" w:hAnsi="Times New Roman" w:eastAsia="方正黑体_GBK" w:cs="Times New Roman"/>
                <w:color w:val="000000"/>
                <w:kern w:val="0"/>
                <w:sz w:val="26"/>
                <w:szCs w:val="26"/>
              </w:rPr>
            </w:pPr>
          </w:p>
        </w:tc>
        <w:tc>
          <w:tcPr>
            <w:tcW w:w="1110" w:type="dxa"/>
            <w:tcBorders>
              <w:top w:val="nil"/>
              <w:left w:val="nil"/>
              <w:bottom w:val="single" w:color="auto" w:sz="4" w:space="0"/>
              <w:right w:val="single" w:color="auto" w:sz="4" w:space="0"/>
            </w:tcBorders>
            <w:noWrap w:val="0"/>
            <w:vAlign w:val="center"/>
          </w:tcPr>
          <w:p>
            <w:pPr>
              <w:adjustRightInd w:val="0"/>
              <w:snapToGrid w:val="0"/>
              <w:spacing w:line="4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姓  名</w:t>
            </w:r>
          </w:p>
        </w:tc>
        <w:tc>
          <w:tcPr>
            <w:tcW w:w="1586" w:type="dxa"/>
            <w:tcBorders>
              <w:top w:val="nil"/>
              <w:left w:val="nil"/>
              <w:bottom w:val="single" w:color="auto" w:sz="4" w:space="0"/>
              <w:right w:val="single" w:color="auto" w:sz="4" w:space="0"/>
            </w:tcBorders>
            <w:noWrap/>
            <w:vAlign w:val="center"/>
          </w:tcPr>
          <w:p>
            <w:pPr>
              <w:adjustRightInd w:val="0"/>
              <w:snapToGrid w:val="0"/>
              <w:spacing w:line="4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职   务</w:t>
            </w:r>
          </w:p>
        </w:tc>
        <w:tc>
          <w:tcPr>
            <w:tcW w:w="1646" w:type="dxa"/>
            <w:tcBorders>
              <w:top w:val="nil"/>
              <w:left w:val="nil"/>
              <w:bottom w:val="single" w:color="auto" w:sz="4" w:space="0"/>
              <w:right w:val="single" w:color="auto" w:sz="4" w:space="0"/>
            </w:tcBorders>
            <w:noWrap/>
            <w:vAlign w:val="center"/>
          </w:tcPr>
          <w:p>
            <w:pPr>
              <w:adjustRightInd w:val="0"/>
              <w:snapToGrid w:val="0"/>
              <w:spacing w:line="4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电  话</w:t>
            </w:r>
          </w:p>
        </w:tc>
        <w:tc>
          <w:tcPr>
            <w:tcW w:w="1110" w:type="dxa"/>
            <w:tcBorders>
              <w:top w:val="nil"/>
              <w:left w:val="nil"/>
              <w:bottom w:val="single" w:color="auto" w:sz="4" w:space="0"/>
              <w:right w:val="single" w:color="auto" w:sz="4" w:space="0"/>
            </w:tcBorders>
            <w:noWrap/>
            <w:vAlign w:val="center"/>
          </w:tcPr>
          <w:p>
            <w:pPr>
              <w:adjustRightInd w:val="0"/>
              <w:snapToGrid w:val="0"/>
              <w:spacing w:line="4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姓  名</w:t>
            </w:r>
          </w:p>
        </w:tc>
        <w:tc>
          <w:tcPr>
            <w:tcW w:w="1673" w:type="dxa"/>
            <w:tcBorders>
              <w:top w:val="nil"/>
              <w:left w:val="nil"/>
              <w:bottom w:val="single" w:color="auto" w:sz="4" w:space="0"/>
              <w:right w:val="single" w:color="auto" w:sz="4" w:space="0"/>
            </w:tcBorders>
            <w:noWrap/>
            <w:vAlign w:val="center"/>
          </w:tcPr>
          <w:p>
            <w:pPr>
              <w:adjustRightInd w:val="0"/>
              <w:snapToGrid w:val="0"/>
              <w:spacing w:line="480" w:lineRule="exact"/>
              <w:jc w:val="center"/>
              <w:rPr>
                <w:rFonts w:hint="eastAsia" w:ascii="方正黑体_GBK" w:hAnsi="Times New Roman" w:eastAsia="方正黑体_GBK" w:cs="Times New Roman"/>
                <w:color w:val="000000"/>
                <w:kern w:val="0"/>
                <w:sz w:val="26"/>
                <w:szCs w:val="26"/>
              </w:rPr>
            </w:pPr>
            <w:r>
              <w:rPr>
                <w:rFonts w:hint="eastAsia" w:ascii="方正黑体_GBK" w:hAnsi="Times New Roman" w:eastAsia="方正黑体_GBK" w:cs="Times New Roman"/>
                <w:color w:val="000000"/>
                <w:kern w:val="0"/>
                <w:sz w:val="26"/>
                <w:szCs w:val="26"/>
              </w:rPr>
              <w:t>电  话</w:t>
            </w:r>
          </w:p>
        </w:tc>
      </w:tr>
      <w:tr>
        <w:tblPrEx>
          <w:tblCellMar>
            <w:top w:w="0" w:type="dxa"/>
            <w:left w:w="108" w:type="dxa"/>
            <w:bottom w:w="0" w:type="dxa"/>
            <w:right w:w="108" w:type="dxa"/>
          </w:tblCellMar>
        </w:tblPrEx>
        <w:trPr>
          <w:trHeight w:val="1314" w:hRule="atLeast"/>
        </w:trPr>
        <w:tc>
          <w:tcPr>
            <w:tcW w:w="1364" w:type="dxa"/>
            <w:tcBorders>
              <w:top w:val="nil"/>
              <w:left w:val="single" w:color="auto" w:sz="4" w:space="0"/>
              <w:bottom w:val="single" w:color="auto" w:sz="4" w:space="0"/>
              <w:right w:val="single" w:color="auto" w:sz="4" w:space="0"/>
            </w:tcBorders>
            <w:noWrap w:val="0"/>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川气东送</w:t>
            </w:r>
          </w:p>
        </w:tc>
        <w:tc>
          <w:tcPr>
            <w:tcW w:w="2697" w:type="dxa"/>
            <w:tcBorders>
              <w:top w:val="nil"/>
              <w:left w:val="nil"/>
              <w:bottom w:val="single" w:color="auto" w:sz="4" w:space="0"/>
              <w:right w:val="single" w:color="auto" w:sz="4" w:space="0"/>
            </w:tcBorders>
            <w:noWrap w:val="0"/>
            <w:vAlign w:val="center"/>
          </w:tcPr>
          <w:p>
            <w:pPr>
              <w:adjustRightInd w:val="0"/>
              <w:snapToGrid w:val="0"/>
              <w:spacing w:line="380" w:lineRule="exact"/>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国家管网集团川气东送天然气管道公司</w:t>
            </w:r>
          </w:p>
        </w:tc>
        <w:tc>
          <w:tcPr>
            <w:tcW w:w="3332" w:type="dxa"/>
            <w:tcBorders>
              <w:top w:val="nil"/>
              <w:left w:val="nil"/>
              <w:bottom w:val="single" w:color="auto" w:sz="4" w:space="0"/>
              <w:right w:val="single" w:color="auto" w:sz="4" w:space="0"/>
            </w:tcBorders>
            <w:noWrap w:val="0"/>
            <w:vAlign w:val="center"/>
          </w:tcPr>
          <w:p>
            <w:pPr>
              <w:adjustRightInd w:val="0"/>
              <w:snapToGrid w:val="0"/>
              <w:spacing w:line="380" w:lineRule="exact"/>
              <w:rPr>
                <w:rFonts w:ascii="Times New Roman" w:hAnsi="Times New Roman" w:eastAsia="方正仿宋_GBK" w:cs="Times New Roman"/>
                <w:color w:val="000000"/>
                <w:spacing w:val="-6"/>
                <w:kern w:val="0"/>
                <w:sz w:val="26"/>
                <w:szCs w:val="26"/>
              </w:rPr>
            </w:pPr>
            <w:r>
              <w:rPr>
                <w:rFonts w:ascii="Times New Roman" w:hAnsi="Times New Roman" w:eastAsia="方正仿宋_GBK" w:cs="Times New Roman"/>
                <w:color w:val="000000"/>
                <w:spacing w:val="-6"/>
                <w:kern w:val="0"/>
                <w:sz w:val="26"/>
                <w:szCs w:val="26"/>
              </w:rPr>
              <w:t>黎场乡→王场镇→鱼池镇→石家乡→黄水镇→枫木乡</w:t>
            </w:r>
          </w:p>
        </w:tc>
        <w:tc>
          <w:tcPr>
            <w:tcW w:w="1110" w:type="dxa"/>
            <w:tcBorders>
              <w:top w:val="nil"/>
              <w:left w:val="nil"/>
              <w:bottom w:val="single" w:color="auto" w:sz="4" w:space="0"/>
              <w:right w:val="single" w:color="auto" w:sz="4" w:space="0"/>
            </w:tcBorders>
            <w:noWrap w:val="0"/>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车志强</w:t>
            </w:r>
          </w:p>
        </w:tc>
        <w:tc>
          <w:tcPr>
            <w:tcW w:w="1586"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管道副经理</w:t>
            </w:r>
          </w:p>
        </w:tc>
        <w:tc>
          <w:tcPr>
            <w:tcW w:w="1646"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13</w:t>
            </w:r>
            <w:r>
              <w:rPr>
                <w:rFonts w:hint="eastAsia" w:ascii="Times New Roman" w:hAnsi="Times New Roman" w:eastAsia="方正仿宋_GBK" w:cs="Times New Roman"/>
                <w:color w:val="000000"/>
                <w:kern w:val="0"/>
                <w:sz w:val="26"/>
                <w:szCs w:val="26"/>
                <w:lang w:val="en-US" w:eastAsia="zh-CN"/>
              </w:rPr>
              <w:t>*******</w:t>
            </w:r>
            <w:r>
              <w:rPr>
                <w:rFonts w:ascii="Times New Roman" w:hAnsi="Times New Roman" w:eastAsia="方正仿宋_GBK" w:cs="Times New Roman"/>
                <w:color w:val="000000"/>
                <w:kern w:val="0"/>
                <w:sz w:val="26"/>
                <w:szCs w:val="26"/>
              </w:rPr>
              <w:t>84</w:t>
            </w:r>
          </w:p>
        </w:tc>
        <w:tc>
          <w:tcPr>
            <w:tcW w:w="1110"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范小峰</w:t>
            </w:r>
          </w:p>
        </w:tc>
        <w:tc>
          <w:tcPr>
            <w:tcW w:w="1673"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17</w:t>
            </w:r>
            <w:r>
              <w:rPr>
                <w:rFonts w:hint="eastAsia" w:ascii="Times New Roman" w:hAnsi="Times New Roman" w:eastAsia="方正仿宋_GBK" w:cs="Times New Roman"/>
                <w:color w:val="000000"/>
                <w:kern w:val="0"/>
                <w:sz w:val="26"/>
                <w:szCs w:val="26"/>
                <w:lang w:val="en-US" w:eastAsia="zh-CN"/>
              </w:rPr>
              <w:t>*******</w:t>
            </w:r>
            <w:r>
              <w:rPr>
                <w:rFonts w:ascii="Times New Roman" w:hAnsi="Times New Roman" w:eastAsia="方正仿宋_GBK" w:cs="Times New Roman"/>
                <w:color w:val="000000"/>
                <w:kern w:val="0"/>
                <w:sz w:val="26"/>
                <w:szCs w:val="26"/>
              </w:rPr>
              <w:t>41</w:t>
            </w:r>
          </w:p>
        </w:tc>
      </w:tr>
      <w:tr>
        <w:tblPrEx>
          <w:tblCellMar>
            <w:top w:w="0" w:type="dxa"/>
            <w:left w:w="108" w:type="dxa"/>
            <w:bottom w:w="0" w:type="dxa"/>
            <w:right w:w="108" w:type="dxa"/>
          </w:tblCellMar>
        </w:tblPrEx>
        <w:trPr>
          <w:trHeight w:val="1268" w:hRule="atLeast"/>
        </w:trPr>
        <w:tc>
          <w:tcPr>
            <w:tcW w:w="1364" w:type="dxa"/>
            <w:tcBorders>
              <w:top w:val="nil"/>
              <w:left w:val="single" w:color="auto" w:sz="4" w:space="0"/>
              <w:bottom w:val="single" w:color="auto" w:sz="4" w:space="0"/>
              <w:right w:val="single" w:color="auto" w:sz="4" w:space="0"/>
            </w:tcBorders>
            <w:noWrap w:val="0"/>
            <w:vAlign w:val="center"/>
          </w:tcPr>
          <w:p>
            <w:pPr>
              <w:adjustRightInd w:val="0"/>
              <w:snapToGrid w:val="0"/>
              <w:spacing w:line="380" w:lineRule="exact"/>
              <w:jc w:val="center"/>
              <w:rPr>
                <w:rFonts w:hint="eastAsia" w:ascii="Times New Roman" w:hAnsi="Times New Roman" w:eastAsia="方正仿宋_GBK" w:cs="Times New Roman"/>
                <w:color w:val="000000"/>
                <w:kern w:val="0"/>
                <w:sz w:val="26"/>
                <w:szCs w:val="26"/>
                <w:lang w:eastAsia="zh-CN"/>
              </w:rPr>
            </w:pPr>
            <w:r>
              <w:rPr>
                <w:rFonts w:ascii="Times New Roman" w:hAnsi="Times New Roman" w:eastAsia="方正仿宋_GBK" w:cs="Times New Roman"/>
                <w:color w:val="000000"/>
                <w:kern w:val="0"/>
                <w:sz w:val="26"/>
                <w:szCs w:val="26"/>
              </w:rPr>
              <w:t>西气东输</w:t>
            </w:r>
          </w:p>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忠武管道</w:t>
            </w:r>
          </w:p>
        </w:tc>
        <w:tc>
          <w:tcPr>
            <w:tcW w:w="2697" w:type="dxa"/>
            <w:tcBorders>
              <w:top w:val="nil"/>
              <w:left w:val="nil"/>
              <w:bottom w:val="single" w:color="auto" w:sz="4" w:space="0"/>
              <w:right w:val="single" w:color="auto" w:sz="4" w:space="0"/>
            </w:tcBorders>
            <w:noWrap w:val="0"/>
            <w:vAlign w:val="center"/>
          </w:tcPr>
          <w:p>
            <w:pPr>
              <w:adjustRightInd w:val="0"/>
              <w:snapToGrid w:val="0"/>
              <w:spacing w:line="380" w:lineRule="exact"/>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国家管网集团西气东输管道公司武汉输气分公司</w:t>
            </w:r>
          </w:p>
        </w:tc>
        <w:tc>
          <w:tcPr>
            <w:tcW w:w="3332" w:type="dxa"/>
            <w:tcBorders>
              <w:top w:val="nil"/>
              <w:left w:val="nil"/>
              <w:bottom w:val="single" w:color="auto" w:sz="4" w:space="0"/>
              <w:right w:val="single" w:color="auto" w:sz="4" w:space="0"/>
            </w:tcBorders>
            <w:noWrap w:val="0"/>
            <w:vAlign w:val="center"/>
          </w:tcPr>
          <w:p>
            <w:pPr>
              <w:adjustRightInd w:val="0"/>
              <w:snapToGrid w:val="0"/>
              <w:spacing w:line="380" w:lineRule="exact"/>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沿溪镇→鱼池镇→石家乡→黄水镇→枫木乡</w:t>
            </w:r>
          </w:p>
        </w:tc>
        <w:tc>
          <w:tcPr>
            <w:tcW w:w="1110" w:type="dxa"/>
            <w:tcBorders>
              <w:top w:val="nil"/>
              <w:left w:val="nil"/>
              <w:bottom w:val="single" w:color="auto" w:sz="4" w:space="0"/>
              <w:right w:val="single" w:color="auto" w:sz="4" w:space="0"/>
            </w:tcBorders>
            <w:noWrap w:val="0"/>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王明伟</w:t>
            </w:r>
          </w:p>
        </w:tc>
        <w:tc>
          <w:tcPr>
            <w:tcW w:w="1586"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管道站长</w:t>
            </w:r>
          </w:p>
        </w:tc>
        <w:tc>
          <w:tcPr>
            <w:tcW w:w="1646"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18</w:t>
            </w:r>
            <w:r>
              <w:rPr>
                <w:rFonts w:hint="eastAsia" w:ascii="Times New Roman" w:hAnsi="Times New Roman" w:eastAsia="方正仿宋_GBK" w:cs="Times New Roman"/>
                <w:color w:val="000000"/>
                <w:kern w:val="0"/>
                <w:sz w:val="26"/>
                <w:szCs w:val="26"/>
                <w:lang w:val="en-US" w:eastAsia="zh-CN"/>
              </w:rPr>
              <w:t>*******</w:t>
            </w:r>
            <w:r>
              <w:rPr>
                <w:rFonts w:ascii="Times New Roman" w:hAnsi="Times New Roman" w:eastAsia="方正仿宋_GBK" w:cs="Times New Roman"/>
                <w:color w:val="000000"/>
                <w:kern w:val="0"/>
                <w:sz w:val="26"/>
                <w:szCs w:val="26"/>
              </w:rPr>
              <w:t>48</w:t>
            </w:r>
          </w:p>
        </w:tc>
        <w:tc>
          <w:tcPr>
            <w:tcW w:w="1110"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杨剑锋</w:t>
            </w:r>
          </w:p>
        </w:tc>
        <w:tc>
          <w:tcPr>
            <w:tcW w:w="1673"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15</w:t>
            </w:r>
            <w:r>
              <w:rPr>
                <w:rFonts w:hint="eastAsia" w:ascii="Times New Roman" w:hAnsi="Times New Roman" w:eastAsia="方正仿宋_GBK" w:cs="Times New Roman"/>
                <w:color w:val="000000"/>
                <w:kern w:val="0"/>
                <w:sz w:val="26"/>
                <w:szCs w:val="26"/>
                <w:lang w:val="en-US" w:eastAsia="zh-CN"/>
              </w:rPr>
              <w:t>*******</w:t>
            </w:r>
            <w:r>
              <w:rPr>
                <w:rFonts w:ascii="Times New Roman" w:hAnsi="Times New Roman" w:eastAsia="方正仿宋_GBK" w:cs="Times New Roman"/>
                <w:color w:val="000000"/>
                <w:kern w:val="0"/>
                <w:sz w:val="26"/>
                <w:szCs w:val="26"/>
              </w:rPr>
              <w:t>70</w:t>
            </w:r>
          </w:p>
        </w:tc>
      </w:tr>
      <w:tr>
        <w:tblPrEx>
          <w:tblCellMar>
            <w:top w:w="0" w:type="dxa"/>
            <w:left w:w="108" w:type="dxa"/>
            <w:bottom w:w="0" w:type="dxa"/>
            <w:right w:w="108" w:type="dxa"/>
          </w:tblCellMar>
        </w:tblPrEx>
        <w:trPr>
          <w:trHeight w:val="1131" w:hRule="atLeast"/>
        </w:trPr>
        <w:tc>
          <w:tcPr>
            <w:tcW w:w="1364" w:type="dxa"/>
            <w:tcBorders>
              <w:top w:val="nil"/>
              <w:left w:val="single" w:color="auto" w:sz="4" w:space="0"/>
              <w:bottom w:val="single" w:color="auto" w:sz="4" w:space="0"/>
              <w:right w:val="single" w:color="auto" w:sz="4" w:space="0"/>
            </w:tcBorders>
            <w:noWrap w:val="0"/>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涪陵至王场页岩气</w:t>
            </w:r>
          </w:p>
        </w:tc>
        <w:tc>
          <w:tcPr>
            <w:tcW w:w="2697" w:type="dxa"/>
            <w:tcBorders>
              <w:top w:val="nil"/>
              <w:left w:val="nil"/>
              <w:bottom w:val="single" w:color="auto" w:sz="4" w:space="0"/>
              <w:right w:val="single" w:color="auto" w:sz="4" w:space="0"/>
            </w:tcBorders>
            <w:noWrap w:val="0"/>
            <w:vAlign w:val="center"/>
          </w:tcPr>
          <w:p>
            <w:pPr>
              <w:adjustRightInd w:val="0"/>
              <w:snapToGrid w:val="0"/>
              <w:spacing w:line="380" w:lineRule="exact"/>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spacing w:val="-6"/>
                <w:kern w:val="0"/>
                <w:sz w:val="26"/>
                <w:szCs w:val="26"/>
              </w:rPr>
              <w:t>国家管网集团重庆天然气管道有限责任公司</w:t>
            </w:r>
          </w:p>
        </w:tc>
        <w:tc>
          <w:tcPr>
            <w:tcW w:w="3332" w:type="dxa"/>
            <w:tcBorders>
              <w:top w:val="nil"/>
              <w:left w:val="nil"/>
              <w:bottom w:val="single" w:color="auto" w:sz="4" w:space="0"/>
              <w:right w:val="single" w:color="auto" w:sz="4" w:space="0"/>
            </w:tcBorders>
            <w:noWrap w:val="0"/>
            <w:vAlign w:val="center"/>
          </w:tcPr>
          <w:p>
            <w:pPr>
              <w:adjustRightInd w:val="0"/>
              <w:snapToGrid w:val="0"/>
              <w:spacing w:line="380" w:lineRule="exact"/>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万朝镇→沿溪镇→王场镇</w:t>
            </w:r>
          </w:p>
        </w:tc>
        <w:tc>
          <w:tcPr>
            <w:tcW w:w="1110" w:type="dxa"/>
            <w:tcBorders>
              <w:top w:val="nil"/>
              <w:left w:val="nil"/>
              <w:bottom w:val="single" w:color="auto" w:sz="4" w:space="0"/>
              <w:right w:val="single" w:color="auto" w:sz="4" w:space="0"/>
            </w:tcBorders>
            <w:noWrap w:val="0"/>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陈</w:t>
            </w:r>
            <w:r>
              <w:rPr>
                <w:rFonts w:hint="eastAsia" w:ascii="Times New Roman" w:hAnsi="Times New Roman" w:eastAsia="方正仿宋_GBK" w:cs="Times New Roman"/>
                <w:color w:val="000000"/>
                <w:kern w:val="0"/>
                <w:sz w:val="26"/>
                <w:szCs w:val="26"/>
              </w:rPr>
              <w:t xml:space="preserve">  </w:t>
            </w:r>
            <w:r>
              <w:rPr>
                <w:rFonts w:ascii="Times New Roman" w:hAnsi="Times New Roman" w:eastAsia="方正仿宋_GBK" w:cs="Times New Roman"/>
                <w:color w:val="000000"/>
                <w:kern w:val="0"/>
                <w:sz w:val="26"/>
                <w:szCs w:val="26"/>
              </w:rPr>
              <w:t>刚</w:t>
            </w:r>
          </w:p>
        </w:tc>
        <w:tc>
          <w:tcPr>
            <w:tcW w:w="1586"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管道副经理</w:t>
            </w:r>
          </w:p>
        </w:tc>
        <w:tc>
          <w:tcPr>
            <w:tcW w:w="1646"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18</w:t>
            </w:r>
            <w:r>
              <w:rPr>
                <w:rFonts w:hint="eastAsia" w:ascii="Times New Roman" w:hAnsi="Times New Roman" w:eastAsia="方正仿宋_GBK" w:cs="Times New Roman"/>
                <w:color w:val="000000"/>
                <w:kern w:val="0"/>
                <w:sz w:val="26"/>
                <w:szCs w:val="26"/>
                <w:lang w:val="en-US" w:eastAsia="zh-CN"/>
              </w:rPr>
              <w:t>*******</w:t>
            </w:r>
            <w:r>
              <w:rPr>
                <w:rFonts w:ascii="Times New Roman" w:hAnsi="Times New Roman" w:eastAsia="方正仿宋_GBK" w:cs="Times New Roman"/>
                <w:color w:val="000000"/>
                <w:kern w:val="0"/>
                <w:sz w:val="26"/>
                <w:szCs w:val="26"/>
              </w:rPr>
              <w:t>60</w:t>
            </w:r>
          </w:p>
        </w:tc>
        <w:tc>
          <w:tcPr>
            <w:tcW w:w="1110"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夏洪峰</w:t>
            </w:r>
          </w:p>
        </w:tc>
        <w:tc>
          <w:tcPr>
            <w:tcW w:w="1673"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18</w:t>
            </w:r>
            <w:r>
              <w:rPr>
                <w:rFonts w:hint="eastAsia" w:ascii="Times New Roman" w:hAnsi="Times New Roman" w:eastAsia="方正仿宋_GBK" w:cs="Times New Roman"/>
                <w:color w:val="000000"/>
                <w:kern w:val="0"/>
                <w:sz w:val="26"/>
                <w:szCs w:val="26"/>
                <w:lang w:val="en-US" w:eastAsia="zh-CN"/>
              </w:rPr>
              <w:t>*******</w:t>
            </w:r>
            <w:r>
              <w:rPr>
                <w:rFonts w:ascii="Times New Roman" w:hAnsi="Times New Roman" w:eastAsia="方正仿宋_GBK" w:cs="Times New Roman"/>
                <w:color w:val="000000"/>
                <w:kern w:val="0"/>
                <w:sz w:val="26"/>
                <w:szCs w:val="26"/>
              </w:rPr>
              <w:t>10</w:t>
            </w:r>
          </w:p>
        </w:tc>
      </w:tr>
      <w:tr>
        <w:tblPrEx>
          <w:tblCellMar>
            <w:top w:w="0" w:type="dxa"/>
            <w:left w:w="108" w:type="dxa"/>
            <w:bottom w:w="0" w:type="dxa"/>
            <w:right w:w="108" w:type="dxa"/>
          </w:tblCellMar>
        </w:tblPrEx>
        <w:trPr>
          <w:trHeight w:val="1161" w:hRule="atLeast"/>
        </w:trPr>
        <w:tc>
          <w:tcPr>
            <w:tcW w:w="1364" w:type="dxa"/>
            <w:tcBorders>
              <w:top w:val="nil"/>
              <w:left w:val="single" w:color="auto" w:sz="4" w:space="0"/>
              <w:bottom w:val="single" w:color="auto" w:sz="4" w:space="0"/>
              <w:right w:val="single" w:color="auto" w:sz="4" w:space="0"/>
            </w:tcBorders>
            <w:noWrap w:val="0"/>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忠县忠州</w:t>
            </w:r>
            <w:r>
              <w:rPr>
                <w:rFonts w:hint="eastAsia" w:ascii="Times New Roman" w:hAnsi="Times New Roman" w:eastAsia="方正仿宋_GBK" w:cs="Times New Roman"/>
                <w:color w:val="000000"/>
                <w:kern w:val="0"/>
                <w:sz w:val="26"/>
                <w:szCs w:val="26"/>
                <w:lang w:eastAsia="zh-CN"/>
              </w:rPr>
              <w:t>－</w:t>
            </w:r>
            <w:r>
              <w:rPr>
                <w:rFonts w:ascii="Times New Roman" w:hAnsi="Times New Roman" w:eastAsia="方正仿宋_GBK" w:cs="Times New Roman"/>
                <w:color w:val="000000"/>
                <w:kern w:val="0"/>
                <w:sz w:val="26"/>
                <w:szCs w:val="26"/>
              </w:rPr>
              <w:t>石柱临溪天然气输气管道</w:t>
            </w:r>
          </w:p>
        </w:tc>
        <w:tc>
          <w:tcPr>
            <w:tcW w:w="2697" w:type="dxa"/>
            <w:tcBorders>
              <w:top w:val="nil"/>
              <w:left w:val="nil"/>
              <w:bottom w:val="single" w:color="auto" w:sz="4" w:space="0"/>
              <w:right w:val="single" w:color="auto" w:sz="4" w:space="0"/>
            </w:tcBorders>
            <w:noWrap w:val="0"/>
            <w:vAlign w:val="center"/>
          </w:tcPr>
          <w:p>
            <w:pPr>
              <w:adjustRightInd w:val="0"/>
              <w:snapToGrid w:val="0"/>
              <w:spacing w:line="380" w:lineRule="exact"/>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重庆民生石柱天然气有限公司</w:t>
            </w:r>
          </w:p>
        </w:tc>
        <w:tc>
          <w:tcPr>
            <w:tcW w:w="3332" w:type="dxa"/>
            <w:tcBorders>
              <w:top w:val="nil"/>
              <w:left w:val="nil"/>
              <w:bottom w:val="single" w:color="auto" w:sz="4" w:space="0"/>
              <w:right w:val="single" w:color="auto" w:sz="4" w:space="0"/>
            </w:tcBorders>
            <w:noWrap w:val="0"/>
            <w:vAlign w:val="center"/>
          </w:tcPr>
          <w:p>
            <w:pPr>
              <w:adjustRightInd w:val="0"/>
              <w:snapToGrid w:val="0"/>
              <w:spacing w:line="380" w:lineRule="exact"/>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spacing w:val="-6"/>
                <w:kern w:val="0"/>
                <w:sz w:val="26"/>
                <w:szCs w:val="26"/>
              </w:rPr>
              <w:t>黎场乡→王场镇→鱼池镇→石家乡→黄水镇→枫木乡</w:t>
            </w:r>
          </w:p>
        </w:tc>
        <w:tc>
          <w:tcPr>
            <w:tcW w:w="1110"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向刚强</w:t>
            </w:r>
          </w:p>
        </w:tc>
        <w:tc>
          <w:tcPr>
            <w:tcW w:w="1586"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副总经理</w:t>
            </w:r>
          </w:p>
        </w:tc>
        <w:tc>
          <w:tcPr>
            <w:tcW w:w="1646"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15</w:t>
            </w:r>
            <w:r>
              <w:rPr>
                <w:rFonts w:hint="eastAsia" w:ascii="Times New Roman" w:hAnsi="Times New Roman" w:eastAsia="方正仿宋_GBK" w:cs="Times New Roman"/>
                <w:color w:val="000000"/>
                <w:kern w:val="0"/>
                <w:sz w:val="26"/>
                <w:szCs w:val="26"/>
                <w:lang w:val="en-US" w:eastAsia="zh-CN"/>
              </w:rPr>
              <w:t>*******</w:t>
            </w:r>
            <w:r>
              <w:rPr>
                <w:rFonts w:ascii="Times New Roman" w:hAnsi="Times New Roman" w:eastAsia="方正仿宋_GBK" w:cs="Times New Roman"/>
                <w:color w:val="000000"/>
                <w:kern w:val="0"/>
                <w:sz w:val="26"/>
                <w:szCs w:val="26"/>
              </w:rPr>
              <w:t>34</w:t>
            </w:r>
          </w:p>
        </w:tc>
        <w:tc>
          <w:tcPr>
            <w:tcW w:w="1110"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hint="eastAsia" w:ascii="Times New Roman" w:hAnsi="Times New Roman" w:eastAsia="方正仿宋_GBK" w:cs="Times New Roman"/>
                <w:color w:val="000000"/>
                <w:kern w:val="0"/>
                <w:sz w:val="26"/>
                <w:szCs w:val="26"/>
                <w:lang w:eastAsia="zh-CN"/>
              </w:rPr>
            </w:pPr>
            <w:r>
              <w:rPr>
                <w:rFonts w:hint="eastAsia" w:ascii="Times New Roman" w:hAnsi="Times New Roman" w:eastAsia="方正仿宋_GBK" w:cs="Times New Roman"/>
                <w:color w:val="000000"/>
                <w:kern w:val="0"/>
                <w:sz w:val="26"/>
                <w:szCs w:val="26"/>
                <w:lang w:eastAsia="zh-CN"/>
              </w:rPr>
              <w:t>黎灵</w:t>
            </w:r>
          </w:p>
        </w:tc>
        <w:tc>
          <w:tcPr>
            <w:tcW w:w="1673" w:type="dxa"/>
            <w:tcBorders>
              <w:top w:val="nil"/>
              <w:left w:val="nil"/>
              <w:bottom w:val="single" w:color="auto" w:sz="4" w:space="0"/>
              <w:right w:val="single" w:color="auto" w:sz="4" w:space="0"/>
            </w:tcBorders>
            <w:noWrap/>
            <w:vAlign w:val="center"/>
          </w:tcPr>
          <w:p>
            <w:pPr>
              <w:adjustRightInd w:val="0"/>
              <w:snapToGrid w:val="0"/>
              <w:spacing w:line="380" w:lineRule="exact"/>
              <w:jc w:val="center"/>
              <w:rPr>
                <w:rFonts w:hint="default" w:ascii="Times New Roman" w:hAnsi="Times New Roman" w:eastAsia="方正仿宋_GBK" w:cs="Times New Roman"/>
                <w:color w:val="000000"/>
                <w:kern w:val="0"/>
                <w:sz w:val="26"/>
                <w:szCs w:val="26"/>
                <w:lang w:val="en-US" w:eastAsia="zh-CN"/>
              </w:rPr>
            </w:pPr>
            <w:r>
              <w:rPr>
                <w:rFonts w:hint="eastAsia" w:ascii="Times New Roman" w:hAnsi="Times New Roman" w:eastAsia="方正仿宋_GBK" w:cs="Times New Roman"/>
                <w:color w:val="000000"/>
                <w:kern w:val="0"/>
                <w:sz w:val="26"/>
                <w:szCs w:val="26"/>
                <w:lang w:val="en-US" w:eastAsia="zh-CN"/>
              </w:rPr>
              <w:t>13*******10</w:t>
            </w:r>
          </w:p>
        </w:tc>
      </w:tr>
    </w:tbl>
    <w:p>
      <w:pPr>
        <w:widowControl/>
        <w:rPr>
          <w:rFonts w:ascii="Times New Roman" w:hAnsi="Times New Roman" w:eastAsia="宋体" w:cs="Times New Roman"/>
          <w:kern w:val="0"/>
          <w:sz w:val="26"/>
          <w:szCs w:val="26"/>
        </w:rPr>
      </w:pPr>
      <w:r>
        <w:rPr>
          <w:rFonts w:hint="eastAsia" w:ascii="方正仿宋_GBK" w:hAnsi="方正仿宋_GBK" w:eastAsia="方正仿宋_GBK" w:cs="方正仿宋_GBK"/>
          <w:color w:val="000000"/>
          <w:kern w:val="0"/>
          <w:sz w:val="26"/>
          <w:szCs w:val="26"/>
          <w:lang w:bidi="ar"/>
        </w:rPr>
        <w:t>（注：</w:t>
      </w:r>
      <w:r>
        <w:rPr>
          <w:rFonts w:ascii="方正仿宋_GBK" w:hAnsi="方正仿宋_GBK" w:eastAsia="方正仿宋_GBK" w:cs="方正仿宋_GBK"/>
          <w:color w:val="000000"/>
          <w:kern w:val="0"/>
          <w:sz w:val="26"/>
          <w:szCs w:val="26"/>
          <w:lang w:bidi="ar"/>
        </w:rPr>
        <w:t>以上联系人和联系电话为动态信息，如发生变化，以实际情况为准。</w:t>
      </w:r>
      <w:r>
        <w:rPr>
          <w:rFonts w:hint="eastAsia" w:ascii="方正仿宋_GBK" w:hAnsi="方正仿宋_GBK" w:eastAsia="方正仿宋_GBK" w:cs="方正仿宋_GBK"/>
          <w:color w:val="000000"/>
          <w:kern w:val="0"/>
          <w:sz w:val="26"/>
          <w:szCs w:val="26"/>
          <w:lang w:bidi="ar"/>
        </w:rPr>
        <w:t>）</w:t>
      </w:r>
    </w:p>
    <w:p>
      <w:pPr>
        <w:rPr>
          <w:rFonts w:ascii="Times New Roman" w:hAnsi="Times New Roman" w:eastAsia="宋体" w:cs="Times New Roman"/>
          <w:kern w:val="0"/>
          <w:sz w:val="20"/>
          <w:szCs w:val="20"/>
          <w:lang w:val="zh-CN"/>
        </w:rPr>
      </w:pPr>
    </w:p>
    <w:p>
      <w:pPr>
        <w:rPr>
          <w:rFonts w:hint="eastAsia"/>
          <w:lang w:val="zh-CN"/>
        </w:rPr>
        <w:sectPr>
          <w:pgSz w:w="16838" w:h="11906" w:orient="landscape"/>
          <w:pgMar w:top="1418" w:right="1134" w:bottom="1134" w:left="1134" w:header="851" w:footer="964" w:gutter="0"/>
          <w:pgNumType w:fmt="numberInDash"/>
          <w:cols w:space="720" w:num="1"/>
          <w:docGrid w:linePitch="600" w:charSpace="0"/>
        </w:sectPr>
      </w:pPr>
    </w:p>
    <w:p>
      <w:pPr>
        <w:pStyle w:val="16"/>
        <w:pageBreakBefore/>
        <w:tabs>
          <w:tab w:val="left" w:pos="1400"/>
          <w:tab w:val="center" w:pos="4422"/>
        </w:tabs>
        <w:adjustRightInd w:val="0"/>
        <w:snapToGrid w:val="0"/>
        <w:spacing w:before="0" w:after="0" w:line="560" w:lineRule="exact"/>
        <w:jc w:val="left"/>
        <w:rPr>
          <w:rFonts w:hint="eastAsia" w:ascii="方正楷体_GBK" w:hAnsi="Times New Roman" w:eastAsia="方正楷体_GBK"/>
          <w:bCs/>
          <w:kern w:val="0"/>
          <w:lang w:val="zh-CN"/>
        </w:rPr>
      </w:pPr>
      <w:bookmarkStart w:id="105" w:name="_Toc28868175"/>
      <w:bookmarkStart w:id="106" w:name="_Toc19932"/>
      <w:r>
        <w:rPr>
          <w:rFonts w:hint="eastAsia" w:ascii="方正楷体_GBK" w:hAnsi="Times New Roman" w:eastAsia="方正楷体_GBK"/>
          <w:bCs/>
          <w:kern w:val="0"/>
          <w:lang w:val="zh-CN"/>
        </w:rPr>
        <w:t>9.</w:t>
      </w:r>
      <w:r>
        <w:rPr>
          <w:rFonts w:hint="eastAsia" w:ascii="方正楷体_GBK" w:hAnsi="Times New Roman" w:eastAsia="方正楷体_GBK"/>
          <w:bCs/>
          <w:kern w:val="0"/>
          <w:lang w:val="en-US" w:eastAsia="zh-CN"/>
        </w:rPr>
        <w:t>7</w:t>
      </w:r>
      <w:r>
        <w:rPr>
          <w:rFonts w:hint="eastAsia" w:ascii="方正楷体_GBK" w:hAnsi="Times New Roman" w:eastAsia="方正楷体_GBK"/>
          <w:bCs/>
          <w:kern w:val="0"/>
          <w:lang w:val="zh-CN"/>
        </w:rPr>
        <w:t xml:space="preserve">  依托技术专家库联系信息表</w:t>
      </w:r>
      <w:bookmarkEnd w:id="105"/>
      <w:bookmarkEnd w:id="106"/>
    </w:p>
    <w:p>
      <w:pPr>
        <w:pStyle w:val="5"/>
        <w:spacing w:before="0" w:after="0" w:line="240" w:lineRule="auto"/>
        <w:rPr>
          <w:rFonts w:hint="eastAsia" w:ascii="方正楷体_GBK" w:hAnsi="Times New Roman" w:eastAsia="方正楷体_GBK" w:cs="Times New Roman"/>
          <w:b w:val="0"/>
          <w:bCs w:val="0"/>
          <w:kern w:val="0"/>
        </w:rPr>
      </w:pPr>
      <w:r>
        <w:rPr>
          <w:rFonts w:hint="eastAsia" w:ascii="方正楷体_GBK" w:hAnsi="Times New Roman" w:eastAsia="方正楷体_GBK" w:cs="Times New Roman"/>
          <w:b w:val="0"/>
          <w:bCs w:val="0"/>
          <w:kern w:val="0"/>
        </w:rPr>
        <w:t>9.</w:t>
      </w:r>
      <w:r>
        <w:rPr>
          <w:rFonts w:hint="eastAsia" w:ascii="方正楷体_GBK" w:hAnsi="Times New Roman" w:eastAsia="方正楷体_GBK" w:cs="Times New Roman"/>
          <w:b w:val="0"/>
          <w:bCs w:val="0"/>
          <w:kern w:val="0"/>
          <w:lang w:val="en-US" w:eastAsia="zh-CN"/>
        </w:rPr>
        <w:t>7</w:t>
      </w:r>
      <w:r>
        <w:rPr>
          <w:rFonts w:hint="eastAsia" w:ascii="方正楷体_GBK" w:hAnsi="Times New Roman" w:eastAsia="方正楷体_GBK" w:cs="Times New Roman"/>
          <w:b w:val="0"/>
          <w:bCs w:val="0"/>
          <w:kern w:val="0"/>
        </w:rPr>
        <w:t>.1市级专家信息表</w:t>
      </w:r>
    </w:p>
    <w:tbl>
      <w:tblPr>
        <w:tblStyle w:val="12"/>
        <w:tblW w:w="9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7"/>
        <w:gridCol w:w="1557"/>
        <w:gridCol w:w="1468"/>
        <w:gridCol w:w="5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807" w:type="dxa"/>
            <w:noWrap w:val="0"/>
            <w:tcMar>
              <w:top w:w="0" w:type="dxa"/>
              <w:left w:w="108" w:type="dxa"/>
              <w:bottom w:w="0" w:type="dxa"/>
              <w:right w:w="108" w:type="dxa"/>
            </w:tcMar>
            <w:vAlign w:val="center"/>
          </w:tcPr>
          <w:p>
            <w:pPr>
              <w:snapToGrid w:val="0"/>
              <w:spacing w:line="400" w:lineRule="exact"/>
              <w:jc w:val="center"/>
              <w:rPr>
                <w:rFonts w:hint="eastAsia" w:ascii="方正黑体_GBK" w:hAnsi="Times New Roman" w:eastAsia="方正黑体_GBK" w:cs="Times New Roman"/>
                <w:kern w:val="0"/>
                <w:sz w:val="28"/>
                <w:szCs w:val="20"/>
              </w:rPr>
            </w:pPr>
            <w:r>
              <w:rPr>
                <w:rFonts w:hint="eastAsia" w:ascii="方正黑体_GBK" w:hAnsi="Times New Roman" w:eastAsia="方正黑体_GBK" w:cs="Times New Roman"/>
                <w:kern w:val="0"/>
                <w:sz w:val="28"/>
                <w:szCs w:val="20"/>
              </w:rPr>
              <w:t>序号</w:t>
            </w:r>
          </w:p>
        </w:tc>
        <w:tc>
          <w:tcPr>
            <w:tcW w:w="1557" w:type="dxa"/>
            <w:noWrap w:val="0"/>
            <w:tcMar>
              <w:top w:w="0" w:type="dxa"/>
              <w:left w:w="108" w:type="dxa"/>
              <w:bottom w:w="0" w:type="dxa"/>
              <w:right w:w="108" w:type="dxa"/>
            </w:tcMar>
            <w:vAlign w:val="center"/>
          </w:tcPr>
          <w:p>
            <w:pPr>
              <w:snapToGrid w:val="0"/>
              <w:spacing w:line="400" w:lineRule="exact"/>
              <w:jc w:val="center"/>
              <w:rPr>
                <w:rFonts w:hint="eastAsia" w:ascii="方正黑体_GBK" w:hAnsi="Times New Roman" w:eastAsia="方正黑体_GBK" w:cs="Times New Roman"/>
                <w:kern w:val="0"/>
                <w:sz w:val="28"/>
                <w:szCs w:val="20"/>
              </w:rPr>
            </w:pPr>
            <w:r>
              <w:rPr>
                <w:rFonts w:hint="eastAsia" w:ascii="方正黑体_GBK" w:hAnsi="Times New Roman" w:eastAsia="方正黑体_GBK" w:cs="Times New Roman"/>
                <w:kern w:val="0"/>
                <w:sz w:val="28"/>
                <w:szCs w:val="20"/>
              </w:rPr>
              <w:t>单位名称</w:t>
            </w:r>
          </w:p>
        </w:tc>
        <w:tc>
          <w:tcPr>
            <w:tcW w:w="1468" w:type="dxa"/>
            <w:noWrap w:val="0"/>
            <w:tcMar>
              <w:top w:w="0" w:type="dxa"/>
              <w:left w:w="108" w:type="dxa"/>
              <w:bottom w:w="0" w:type="dxa"/>
              <w:right w:w="108" w:type="dxa"/>
            </w:tcMar>
            <w:vAlign w:val="center"/>
          </w:tcPr>
          <w:p>
            <w:pPr>
              <w:snapToGrid w:val="0"/>
              <w:spacing w:line="400" w:lineRule="exact"/>
              <w:jc w:val="center"/>
              <w:rPr>
                <w:rFonts w:hint="eastAsia" w:ascii="方正黑体_GBK" w:hAnsi="Times New Roman" w:eastAsia="方正黑体_GBK" w:cs="Times New Roman"/>
                <w:kern w:val="0"/>
                <w:sz w:val="28"/>
                <w:szCs w:val="20"/>
              </w:rPr>
            </w:pPr>
            <w:r>
              <w:rPr>
                <w:rFonts w:hint="eastAsia" w:ascii="方正黑体_GBK" w:hAnsi="Times New Roman" w:eastAsia="方正黑体_GBK" w:cs="Times New Roman"/>
                <w:kern w:val="0"/>
                <w:sz w:val="28"/>
                <w:szCs w:val="20"/>
              </w:rPr>
              <w:t>值班电话</w:t>
            </w:r>
          </w:p>
        </w:tc>
        <w:tc>
          <w:tcPr>
            <w:tcW w:w="5275" w:type="dxa"/>
            <w:noWrap w:val="0"/>
            <w:tcMar>
              <w:top w:w="0" w:type="dxa"/>
              <w:left w:w="108" w:type="dxa"/>
              <w:bottom w:w="0" w:type="dxa"/>
              <w:right w:w="108" w:type="dxa"/>
            </w:tcMar>
            <w:vAlign w:val="center"/>
          </w:tcPr>
          <w:p>
            <w:pPr>
              <w:snapToGrid w:val="0"/>
              <w:spacing w:line="400" w:lineRule="exact"/>
              <w:jc w:val="center"/>
              <w:rPr>
                <w:rFonts w:hint="eastAsia" w:ascii="方正黑体_GBK" w:hAnsi="Times New Roman" w:eastAsia="方正黑体_GBK" w:cs="Times New Roman"/>
                <w:kern w:val="0"/>
                <w:sz w:val="28"/>
                <w:szCs w:val="20"/>
              </w:rPr>
            </w:pPr>
            <w:r>
              <w:rPr>
                <w:rFonts w:hint="eastAsia" w:ascii="方正黑体_GBK" w:hAnsi="Times New Roman" w:eastAsia="方正黑体_GBK" w:cs="Times New Roman"/>
                <w:kern w:val="0"/>
                <w:sz w:val="28"/>
                <w:szCs w:val="20"/>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9" w:hRule="atLeast"/>
          <w:jc w:val="center"/>
        </w:trPr>
        <w:tc>
          <w:tcPr>
            <w:tcW w:w="807" w:type="dxa"/>
            <w:noWrap w:val="0"/>
            <w:tcMar>
              <w:top w:w="0" w:type="dxa"/>
              <w:left w:w="108" w:type="dxa"/>
              <w:bottom w:w="0" w:type="dxa"/>
              <w:right w:w="108" w:type="dxa"/>
            </w:tcMar>
            <w:vAlign w:val="center"/>
          </w:tcPr>
          <w:p>
            <w:pPr>
              <w:snapToGrid w:val="0"/>
              <w:spacing w:line="400" w:lineRule="exact"/>
              <w:jc w:val="center"/>
              <w:rPr>
                <w:rFonts w:hint="eastAsia" w:ascii="Times New Roman" w:hAnsi="Times New Roman" w:eastAsia="方正仿宋_GBK" w:cs="Times New Roman"/>
                <w:kern w:val="0"/>
                <w:sz w:val="28"/>
                <w:szCs w:val="20"/>
              </w:rPr>
            </w:pPr>
            <w:r>
              <w:rPr>
                <w:rFonts w:hint="eastAsia" w:ascii="Times New Roman" w:hAnsi="Times New Roman" w:eastAsia="方正仿宋_GBK" w:cs="Times New Roman"/>
                <w:kern w:val="0"/>
                <w:sz w:val="28"/>
                <w:szCs w:val="20"/>
              </w:rPr>
              <w:t>1</w:t>
            </w:r>
          </w:p>
        </w:tc>
        <w:tc>
          <w:tcPr>
            <w:tcW w:w="1557" w:type="dxa"/>
            <w:noWrap w:val="0"/>
            <w:tcMar>
              <w:top w:w="0" w:type="dxa"/>
              <w:left w:w="108" w:type="dxa"/>
              <w:bottom w:w="0" w:type="dxa"/>
              <w:right w:w="108" w:type="dxa"/>
            </w:tcMar>
            <w:vAlign w:val="center"/>
          </w:tcPr>
          <w:p>
            <w:pPr>
              <w:snapToGrid w:val="0"/>
              <w:spacing w:line="400" w:lineRule="exact"/>
              <w:jc w:val="center"/>
              <w:rPr>
                <w:rFonts w:hint="eastAsia" w:ascii="Times New Roman" w:hAnsi="Times New Roman" w:eastAsia="方正仿宋_GBK" w:cs="Times New Roman"/>
                <w:kern w:val="0"/>
                <w:sz w:val="28"/>
                <w:szCs w:val="20"/>
              </w:rPr>
            </w:pPr>
            <w:r>
              <w:rPr>
                <w:rFonts w:hint="eastAsia" w:ascii="Times New Roman" w:hAnsi="Times New Roman" w:eastAsia="方正仿宋_GBK" w:cs="Times New Roman"/>
                <w:kern w:val="0"/>
                <w:sz w:val="28"/>
                <w:szCs w:val="20"/>
              </w:rPr>
              <w:t>市能源局</w:t>
            </w:r>
          </w:p>
        </w:tc>
        <w:tc>
          <w:tcPr>
            <w:tcW w:w="1468" w:type="dxa"/>
            <w:noWrap w:val="0"/>
            <w:tcMar>
              <w:top w:w="0" w:type="dxa"/>
              <w:left w:w="108" w:type="dxa"/>
              <w:bottom w:w="0" w:type="dxa"/>
              <w:right w:w="108" w:type="dxa"/>
            </w:tcMar>
            <w:vAlign w:val="center"/>
          </w:tcPr>
          <w:p>
            <w:pPr>
              <w:snapToGrid w:val="0"/>
              <w:spacing w:line="400" w:lineRule="exact"/>
              <w:jc w:val="center"/>
              <w:rPr>
                <w:rFonts w:hint="eastAsia" w:ascii="Times New Roman" w:hAnsi="Times New Roman" w:eastAsia="方正仿宋_GBK" w:cs="Times New Roman"/>
                <w:kern w:val="0"/>
                <w:sz w:val="28"/>
                <w:szCs w:val="20"/>
              </w:rPr>
            </w:pPr>
            <w:r>
              <w:rPr>
                <w:rFonts w:hint="eastAsia" w:ascii="Times New Roman" w:hAnsi="Times New Roman" w:eastAsia="方正仿宋_GBK" w:cs="Times New Roman"/>
                <w:kern w:val="0"/>
                <w:sz w:val="28"/>
                <w:szCs w:val="20"/>
              </w:rPr>
              <w:t>67575981</w:t>
            </w:r>
          </w:p>
        </w:tc>
        <w:tc>
          <w:tcPr>
            <w:tcW w:w="5275" w:type="dxa"/>
            <w:noWrap w:val="0"/>
            <w:tcMar>
              <w:top w:w="0" w:type="dxa"/>
              <w:left w:w="108" w:type="dxa"/>
              <w:bottom w:w="0" w:type="dxa"/>
              <w:right w:w="108" w:type="dxa"/>
            </w:tcMar>
            <w:vAlign w:val="center"/>
          </w:tcPr>
          <w:p>
            <w:pPr>
              <w:snapToGrid w:val="0"/>
              <w:spacing w:line="400" w:lineRule="exact"/>
              <w:rPr>
                <w:rFonts w:hint="eastAsia" w:ascii="Times New Roman" w:hAnsi="Times New Roman" w:eastAsia="方正仿宋_GBK" w:cs="Times New Roman"/>
                <w:kern w:val="0"/>
                <w:sz w:val="28"/>
                <w:szCs w:val="20"/>
              </w:rPr>
            </w:pPr>
            <w:r>
              <w:rPr>
                <w:rFonts w:hint="eastAsia" w:ascii="Times New Roman" w:hAnsi="Times New Roman" w:eastAsia="方正仿宋_GBK" w:cs="Times New Roman"/>
                <w:kern w:val="0"/>
                <w:sz w:val="28"/>
                <w:szCs w:val="20"/>
              </w:rPr>
              <w:t>市油气长输管道事故抢险救援专家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jc w:val="center"/>
        </w:trPr>
        <w:tc>
          <w:tcPr>
            <w:tcW w:w="807" w:type="dxa"/>
            <w:noWrap w:val="0"/>
            <w:tcMar>
              <w:top w:w="0" w:type="dxa"/>
              <w:left w:w="108" w:type="dxa"/>
              <w:bottom w:w="0" w:type="dxa"/>
              <w:right w:w="108" w:type="dxa"/>
            </w:tcMar>
            <w:vAlign w:val="center"/>
          </w:tcPr>
          <w:p>
            <w:pPr>
              <w:snapToGrid w:val="0"/>
              <w:spacing w:line="400" w:lineRule="exact"/>
              <w:jc w:val="center"/>
              <w:rPr>
                <w:rFonts w:hint="eastAsia" w:ascii="Times New Roman" w:hAnsi="Times New Roman" w:eastAsia="方正仿宋_GBK" w:cs="Times New Roman"/>
                <w:kern w:val="0"/>
                <w:sz w:val="28"/>
                <w:szCs w:val="20"/>
              </w:rPr>
            </w:pPr>
            <w:r>
              <w:rPr>
                <w:rFonts w:hint="eastAsia" w:ascii="Times New Roman" w:hAnsi="Times New Roman" w:eastAsia="方正仿宋_GBK" w:cs="Times New Roman"/>
                <w:kern w:val="0"/>
                <w:sz w:val="28"/>
                <w:szCs w:val="20"/>
              </w:rPr>
              <w:t>2</w:t>
            </w:r>
          </w:p>
        </w:tc>
        <w:tc>
          <w:tcPr>
            <w:tcW w:w="1557" w:type="dxa"/>
            <w:noWrap w:val="0"/>
            <w:tcMar>
              <w:top w:w="0" w:type="dxa"/>
              <w:left w:w="108" w:type="dxa"/>
              <w:bottom w:w="0" w:type="dxa"/>
              <w:right w:w="108" w:type="dxa"/>
            </w:tcMar>
            <w:vAlign w:val="center"/>
          </w:tcPr>
          <w:p>
            <w:pPr>
              <w:snapToGrid w:val="0"/>
              <w:spacing w:line="400" w:lineRule="exact"/>
              <w:jc w:val="center"/>
              <w:rPr>
                <w:rFonts w:hint="eastAsia" w:ascii="Times New Roman" w:hAnsi="Times New Roman" w:eastAsia="方正仿宋_GBK" w:cs="Times New Roman"/>
                <w:kern w:val="0"/>
                <w:sz w:val="28"/>
                <w:szCs w:val="20"/>
              </w:rPr>
            </w:pPr>
            <w:r>
              <w:rPr>
                <w:rFonts w:hint="eastAsia" w:ascii="Times New Roman" w:hAnsi="Times New Roman" w:eastAsia="方正仿宋_GBK" w:cs="Times New Roman"/>
                <w:kern w:val="0"/>
                <w:sz w:val="28"/>
                <w:szCs w:val="20"/>
              </w:rPr>
              <w:t>市应急局</w:t>
            </w:r>
          </w:p>
        </w:tc>
        <w:tc>
          <w:tcPr>
            <w:tcW w:w="1468" w:type="dxa"/>
            <w:noWrap w:val="0"/>
            <w:tcMar>
              <w:top w:w="0" w:type="dxa"/>
              <w:left w:w="108" w:type="dxa"/>
              <w:bottom w:w="0" w:type="dxa"/>
              <w:right w:w="108" w:type="dxa"/>
            </w:tcMar>
            <w:vAlign w:val="center"/>
          </w:tcPr>
          <w:p>
            <w:pPr>
              <w:snapToGrid w:val="0"/>
              <w:spacing w:line="400" w:lineRule="exact"/>
              <w:jc w:val="center"/>
              <w:rPr>
                <w:rFonts w:hint="eastAsia" w:ascii="Times New Roman" w:hAnsi="Times New Roman" w:eastAsia="方正仿宋_GBK" w:cs="Times New Roman"/>
                <w:kern w:val="0"/>
                <w:sz w:val="28"/>
                <w:szCs w:val="20"/>
              </w:rPr>
            </w:pPr>
            <w:r>
              <w:rPr>
                <w:rFonts w:hint="eastAsia" w:ascii="Times New Roman" w:hAnsi="Times New Roman" w:eastAsia="方正仿宋_GBK" w:cs="Times New Roman"/>
                <w:kern w:val="0"/>
                <w:sz w:val="28"/>
                <w:szCs w:val="20"/>
              </w:rPr>
              <w:t>67511625</w:t>
            </w:r>
          </w:p>
        </w:tc>
        <w:tc>
          <w:tcPr>
            <w:tcW w:w="5275" w:type="dxa"/>
            <w:noWrap w:val="0"/>
            <w:tcMar>
              <w:top w:w="0" w:type="dxa"/>
              <w:left w:w="108" w:type="dxa"/>
              <w:bottom w:w="0" w:type="dxa"/>
              <w:right w:w="108" w:type="dxa"/>
            </w:tcMar>
            <w:vAlign w:val="center"/>
          </w:tcPr>
          <w:p>
            <w:pPr>
              <w:snapToGrid w:val="0"/>
              <w:spacing w:line="400" w:lineRule="exact"/>
              <w:rPr>
                <w:rFonts w:hint="eastAsia" w:ascii="Times New Roman" w:hAnsi="Times New Roman" w:eastAsia="方正仿宋_GBK" w:cs="Times New Roman"/>
                <w:kern w:val="0"/>
                <w:sz w:val="28"/>
                <w:szCs w:val="20"/>
              </w:rPr>
            </w:pPr>
            <w:r>
              <w:rPr>
                <w:rFonts w:hint="eastAsia" w:ascii="Times New Roman" w:hAnsi="Times New Roman" w:eastAsia="方正仿宋_GBK" w:cs="Times New Roman"/>
                <w:kern w:val="0"/>
                <w:sz w:val="28"/>
                <w:szCs w:val="20"/>
              </w:rPr>
              <w:t>市应急管理专家（渝安办〔2019〕62号）</w:t>
            </w:r>
          </w:p>
          <w:p>
            <w:pPr>
              <w:snapToGrid w:val="0"/>
              <w:spacing w:line="400" w:lineRule="exact"/>
              <w:rPr>
                <w:rFonts w:hint="eastAsia" w:ascii="Times New Roman" w:hAnsi="Times New Roman" w:eastAsia="方正仿宋_GBK" w:cs="Times New Roman"/>
                <w:kern w:val="0"/>
                <w:sz w:val="28"/>
                <w:szCs w:val="20"/>
              </w:rPr>
            </w:pPr>
            <w:r>
              <w:rPr>
                <w:rFonts w:hint="eastAsia" w:ascii="Times New Roman" w:hAnsi="Times New Roman" w:eastAsia="方正仿宋_GBK" w:cs="Times New Roman"/>
                <w:kern w:val="0"/>
                <w:sz w:val="28"/>
                <w:szCs w:val="20"/>
              </w:rPr>
              <w:t>市应急救援专家（渝应急办〔2019〕62号）</w:t>
            </w:r>
          </w:p>
        </w:tc>
      </w:tr>
    </w:tbl>
    <w:p>
      <w:pPr>
        <w:pStyle w:val="5"/>
        <w:spacing w:before="0" w:after="0" w:line="240" w:lineRule="auto"/>
        <w:rPr>
          <w:rFonts w:hint="eastAsia" w:ascii="方正楷体_GBK" w:hAnsi="Times New Roman" w:eastAsia="方正楷体_GBK" w:cs="Times New Roman"/>
          <w:b w:val="0"/>
          <w:bCs w:val="0"/>
          <w:kern w:val="0"/>
        </w:rPr>
      </w:pPr>
      <w:r>
        <w:rPr>
          <w:rFonts w:ascii="方正楷体_GBK" w:hAnsi="Times New Roman" w:eastAsia="方正楷体_GBK" w:cs="Times New Roman"/>
          <w:b w:val="0"/>
          <w:bCs w:val="0"/>
          <w:kern w:val="0"/>
        </w:rPr>
        <w:t>9.</w:t>
      </w:r>
      <w:r>
        <w:rPr>
          <w:rFonts w:hint="eastAsia" w:ascii="方正楷体_GBK" w:hAnsi="Times New Roman" w:eastAsia="方正楷体_GBK" w:cs="Times New Roman"/>
          <w:b w:val="0"/>
          <w:bCs w:val="0"/>
          <w:kern w:val="0"/>
          <w:lang w:val="en-US" w:eastAsia="zh-CN"/>
        </w:rPr>
        <w:t>7</w:t>
      </w:r>
      <w:r>
        <w:rPr>
          <w:rFonts w:ascii="方正楷体_GBK" w:hAnsi="Times New Roman" w:eastAsia="方正楷体_GBK" w:cs="Times New Roman"/>
          <w:b w:val="0"/>
          <w:bCs w:val="0"/>
          <w:kern w:val="0"/>
        </w:rPr>
        <w:t xml:space="preserve">.2 </w:t>
      </w:r>
      <w:r>
        <w:rPr>
          <w:rFonts w:hint="eastAsia" w:ascii="方正楷体_GBK" w:hAnsi="Times New Roman" w:eastAsia="方正楷体_GBK" w:cs="Times New Roman"/>
          <w:b w:val="0"/>
          <w:bCs w:val="0"/>
          <w:kern w:val="0"/>
        </w:rPr>
        <w:t>县级油气长输管道安全专家信息表</w:t>
      </w:r>
    </w:p>
    <w:tbl>
      <w:tblPr>
        <w:tblStyle w:val="12"/>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763"/>
        <w:gridCol w:w="1097"/>
        <w:gridCol w:w="801"/>
        <w:gridCol w:w="1216"/>
        <w:gridCol w:w="1958"/>
        <w:gridCol w:w="1531"/>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hint="eastAsia" w:ascii="方正黑体_GBK" w:hAnsi="Times New Roman" w:eastAsia="方正黑体_GBK" w:cs="Times New Roman"/>
                <w:snapToGrid w:val="0"/>
                <w:color w:val="000000"/>
                <w:kern w:val="2"/>
                <w:sz w:val="26"/>
                <w:szCs w:val="26"/>
              </w:rPr>
            </w:pPr>
            <w:r>
              <w:rPr>
                <w:rFonts w:hint="eastAsia" w:ascii="方正黑体_GBK" w:hAnsi="Times New Roman" w:eastAsia="方正黑体_GBK" w:cs="Times New Roman"/>
                <w:snapToGrid w:val="0"/>
                <w:color w:val="000000"/>
                <w:kern w:val="2"/>
                <w:sz w:val="26"/>
                <w:szCs w:val="26"/>
              </w:rPr>
              <w:t>序号</w:t>
            </w:r>
          </w:p>
        </w:tc>
        <w:tc>
          <w:tcPr>
            <w:tcW w:w="1097" w:type="dxa"/>
            <w:noWrap w:val="0"/>
            <w:vAlign w:val="center"/>
          </w:tcPr>
          <w:p>
            <w:pPr>
              <w:adjustRightInd w:val="0"/>
              <w:snapToGrid w:val="0"/>
              <w:spacing w:line="480" w:lineRule="exact"/>
              <w:jc w:val="center"/>
              <w:rPr>
                <w:rFonts w:hint="eastAsia" w:ascii="方正黑体_GBK" w:hAnsi="Times New Roman" w:eastAsia="方正黑体_GBK" w:cs="Times New Roman"/>
                <w:snapToGrid w:val="0"/>
                <w:color w:val="000000"/>
                <w:kern w:val="2"/>
                <w:sz w:val="26"/>
                <w:szCs w:val="26"/>
              </w:rPr>
            </w:pPr>
            <w:r>
              <w:rPr>
                <w:rFonts w:hint="eastAsia" w:ascii="方正黑体_GBK" w:hAnsi="Times New Roman" w:eastAsia="方正黑体_GBK" w:cs="Times New Roman"/>
                <w:snapToGrid w:val="0"/>
                <w:color w:val="000000"/>
                <w:kern w:val="2"/>
                <w:sz w:val="26"/>
                <w:szCs w:val="26"/>
              </w:rPr>
              <w:t>姓  名</w:t>
            </w:r>
          </w:p>
        </w:tc>
        <w:tc>
          <w:tcPr>
            <w:tcW w:w="801" w:type="dxa"/>
            <w:noWrap w:val="0"/>
            <w:vAlign w:val="center"/>
          </w:tcPr>
          <w:p>
            <w:pPr>
              <w:adjustRightInd w:val="0"/>
              <w:snapToGrid w:val="0"/>
              <w:spacing w:line="480" w:lineRule="exact"/>
              <w:jc w:val="center"/>
              <w:rPr>
                <w:rFonts w:hint="eastAsia" w:ascii="方正黑体_GBK" w:hAnsi="Times New Roman" w:eastAsia="方正黑体_GBK" w:cs="Times New Roman"/>
                <w:snapToGrid w:val="0"/>
                <w:color w:val="000000"/>
                <w:kern w:val="2"/>
                <w:sz w:val="26"/>
                <w:szCs w:val="26"/>
              </w:rPr>
            </w:pPr>
            <w:r>
              <w:rPr>
                <w:rFonts w:hint="eastAsia" w:ascii="方正黑体_GBK" w:hAnsi="Times New Roman" w:eastAsia="方正黑体_GBK" w:cs="Times New Roman"/>
                <w:snapToGrid w:val="0"/>
                <w:color w:val="000000"/>
                <w:kern w:val="2"/>
                <w:sz w:val="26"/>
                <w:szCs w:val="26"/>
              </w:rPr>
              <w:t>性别</w:t>
            </w:r>
          </w:p>
        </w:tc>
        <w:tc>
          <w:tcPr>
            <w:tcW w:w="1216" w:type="dxa"/>
            <w:noWrap w:val="0"/>
            <w:vAlign w:val="center"/>
          </w:tcPr>
          <w:p>
            <w:pPr>
              <w:adjustRightInd w:val="0"/>
              <w:snapToGrid w:val="0"/>
              <w:spacing w:line="480" w:lineRule="exact"/>
              <w:jc w:val="center"/>
              <w:rPr>
                <w:rFonts w:hint="eastAsia" w:ascii="方正黑体_GBK" w:hAnsi="Times New Roman" w:eastAsia="方正黑体_GBK" w:cs="Times New Roman"/>
                <w:snapToGrid w:val="0"/>
                <w:color w:val="000000"/>
                <w:kern w:val="2"/>
                <w:sz w:val="26"/>
                <w:szCs w:val="26"/>
              </w:rPr>
            </w:pPr>
            <w:r>
              <w:rPr>
                <w:rFonts w:hint="eastAsia" w:ascii="方正黑体_GBK" w:hAnsi="Times New Roman" w:eastAsia="方正黑体_GBK" w:cs="Times New Roman"/>
                <w:snapToGrid w:val="0"/>
                <w:color w:val="000000"/>
                <w:kern w:val="2"/>
                <w:sz w:val="26"/>
                <w:szCs w:val="26"/>
              </w:rPr>
              <w:t>专业分类</w:t>
            </w:r>
          </w:p>
        </w:tc>
        <w:tc>
          <w:tcPr>
            <w:tcW w:w="1958" w:type="dxa"/>
            <w:noWrap w:val="0"/>
            <w:vAlign w:val="center"/>
          </w:tcPr>
          <w:p>
            <w:pPr>
              <w:adjustRightInd w:val="0"/>
              <w:snapToGrid w:val="0"/>
              <w:spacing w:line="480" w:lineRule="exact"/>
              <w:jc w:val="center"/>
              <w:rPr>
                <w:rFonts w:hint="eastAsia" w:ascii="方正黑体_GBK" w:hAnsi="Times New Roman" w:eastAsia="方正黑体_GBK" w:cs="Times New Roman"/>
                <w:snapToGrid w:val="0"/>
                <w:color w:val="000000"/>
                <w:kern w:val="2"/>
                <w:sz w:val="26"/>
                <w:szCs w:val="26"/>
              </w:rPr>
            </w:pPr>
            <w:r>
              <w:rPr>
                <w:rFonts w:hint="eastAsia" w:ascii="方正黑体_GBK" w:hAnsi="Times New Roman" w:eastAsia="方正黑体_GBK" w:cs="Times New Roman"/>
                <w:snapToGrid w:val="0"/>
                <w:color w:val="000000"/>
                <w:kern w:val="2"/>
                <w:sz w:val="26"/>
                <w:szCs w:val="26"/>
              </w:rPr>
              <w:t>工作单位</w:t>
            </w:r>
          </w:p>
        </w:tc>
        <w:tc>
          <w:tcPr>
            <w:tcW w:w="1531" w:type="dxa"/>
            <w:noWrap w:val="0"/>
            <w:vAlign w:val="center"/>
          </w:tcPr>
          <w:p>
            <w:pPr>
              <w:adjustRightInd w:val="0"/>
              <w:snapToGrid w:val="0"/>
              <w:spacing w:line="480" w:lineRule="exact"/>
              <w:jc w:val="center"/>
              <w:rPr>
                <w:rFonts w:hint="eastAsia" w:ascii="方正黑体_GBK" w:hAnsi="Times New Roman" w:eastAsia="方正黑体_GBK" w:cs="Times New Roman"/>
                <w:snapToGrid w:val="0"/>
                <w:color w:val="000000"/>
                <w:kern w:val="2"/>
                <w:sz w:val="26"/>
                <w:szCs w:val="26"/>
              </w:rPr>
            </w:pPr>
            <w:r>
              <w:rPr>
                <w:rFonts w:hint="eastAsia" w:ascii="方正黑体_GBK" w:hAnsi="Times New Roman" w:eastAsia="方正黑体_GBK" w:cs="Times New Roman"/>
                <w:snapToGrid w:val="0"/>
                <w:color w:val="000000"/>
                <w:kern w:val="2"/>
                <w:sz w:val="26"/>
                <w:szCs w:val="26"/>
              </w:rPr>
              <w:t>专家分类</w:t>
            </w:r>
          </w:p>
        </w:tc>
        <w:tc>
          <w:tcPr>
            <w:tcW w:w="1760" w:type="dxa"/>
            <w:noWrap w:val="0"/>
            <w:vAlign w:val="center"/>
          </w:tcPr>
          <w:p>
            <w:pPr>
              <w:adjustRightInd w:val="0"/>
              <w:snapToGrid w:val="0"/>
              <w:spacing w:line="480" w:lineRule="exact"/>
              <w:jc w:val="center"/>
              <w:rPr>
                <w:rFonts w:hint="eastAsia" w:ascii="方正黑体_GBK" w:hAnsi="Times New Roman" w:eastAsia="方正黑体_GBK" w:cs="Times New Roman"/>
                <w:snapToGrid w:val="0"/>
                <w:color w:val="000000"/>
                <w:kern w:val="2"/>
                <w:sz w:val="26"/>
                <w:szCs w:val="26"/>
              </w:rPr>
            </w:pPr>
            <w:r>
              <w:rPr>
                <w:rFonts w:hint="eastAsia" w:ascii="方正黑体_GBK" w:hAnsi="Times New Roman" w:eastAsia="方正黑体_GBK" w:cs="Times New Roman"/>
                <w:snapToGrid w:val="0"/>
                <w:color w:val="000000"/>
                <w:kern w:val="2"/>
                <w:sz w:val="26"/>
                <w:szCs w:val="26"/>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w:t>
            </w:r>
          </w:p>
        </w:tc>
        <w:tc>
          <w:tcPr>
            <w:tcW w:w="1097" w:type="dxa"/>
            <w:noWrap w:val="0"/>
            <w:vAlign w:val="center"/>
          </w:tcPr>
          <w:p>
            <w:pPr>
              <w:adjustRightInd w:val="0"/>
              <w:snapToGrid w:val="0"/>
              <w:spacing w:line="480" w:lineRule="exact"/>
              <w:jc w:val="center"/>
              <w:rPr>
                <w:rFonts w:hint="eastAsia" w:ascii="Times New Roman" w:hAnsi="Times New Roman" w:eastAsia="方正仿宋_GBK" w:cs="Times New Roman"/>
                <w:snapToGrid w:val="0"/>
                <w:color w:val="000000"/>
                <w:kern w:val="2"/>
                <w:sz w:val="26"/>
                <w:szCs w:val="26"/>
              </w:rPr>
            </w:pPr>
            <w:r>
              <w:rPr>
                <w:rFonts w:hint="eastAsia" w:ascii="Times New Roman" w:hAnsi="Times New Roman" w:eastAsia="方正仿宋_GBK" w:cs="Times New Roman"/>
                <w:snapToGrid w:val="0"/>
                <w:color w:val="000000"/>
                <w:kern w:val="2"/>
                <w:sz w:val="26"/>
                <w:szCs w:val="26"/>
              </w:rPr>
              <w:t>张  琳</w:t>
            </w:r>
          </w:p>
        </w:tc>
        <w:tc>
          <w:tcPr>
            <w:tcW w:w="801" w:type="dxa"/>
            <w:noWrap w:val="0"/>
            <w:vAlign w:val="center"/>
          </w:tcPr>
          <w:p>
            <w:pPr>
              <w:adjustRightInd w:val="0"/>
              <w:snapToGrid w:val="0"/>
              <w:spacing w:line="480" w:lineRule="exact"/>
              <w:jc w:val="center"/>
              <w:rPr>
                <w:rFonts w:hint="eastAsia" w:ascii="Times New Roman" w:hAnsi="Times New Roman" w:eastAsia="方正仿宋_GBK" w:cs="Times New Roman"/>
                <w:snapToGrid w:val="0"/>
                <w:color w:val="000000"/>
                <w:kern w:val="2"/>
                <w:sz w:val="26"/>
                <w:szCs w:val="26"/>
              </w:rPr>
            </w:pPr>
            <w:r>
              <w:rPr>
                <w:rFonts w:hint="eastAsia" w:ascii="Times New Roman" w:hAnsi="Times New Roman" w:eastAsia="方正仿宋_GBK" w:cs="Times New Roman"/>
                <w:snapToGrid w:val="0"/>
                <w:color w:val="000000"/>
                <w:kern w:val="2"/>
                <w:sz w:val="26"/>
                <w:szCs w:val="26"/>
              </w:rPr>
              <w:t>女</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hint="eastAsia" w:ascii="Times New Roman" w:hAnsi="Times New Roman" w:eastAsia="方正仿宋_GBK" w:cs="Times New Roman"/>
                <w:snapToGrid w:val="0"/>
                <w:color w:val="000000"/>
                <w:spacing w:val="-23"/>
                <w:w w:val="90"/>
                <w:kern w:val="2"/>
                <w:sz w:val="26"/>
                <w:szCs w:val="26"/>
              </w:rPr>
            </w:pPr>
            <w:r>
              <w:rPr>
                <w:rFonts w:hint="eastAsia" w:ascii="Times New Roman" w:hAnsi="Times New Roman" w:eastAsia="方正仿宋_GBK" w:cs="Times New Roman"/>
                <w:snapToGrid w:val="0"/>
                <w:color w:val="000000"/>
                <w:spacing w:val="-23"/>
                <w:w w:val="90"/>
                <w:kern w:val="2"/>
                <w:sz w:val="26"/>
                <w:szCs w:val="26"/>
              </w:rPr>
              <w:t>重庆天然气管道公司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13</w:t>
            </w:r>
            <w:r>
              <w:rPr>
                <w:rFonts w:hint="eastAsia" w:ascii="Times New Roman" w:hAnsi="Times New Roman" w:eastAsia="方正仿宋_GBK" w:cs="Times New Roman"/>
                <w:snapToGrid w:val="0"/>
                <w:color w:val="000000"/>
                <w:kern w:val="2"/>
                <w:sz w:val="26"/>
                <w:szCs w:val="26"/>
                <w:lang w:val="en-US" w:eastAsia="zh-CN"/>
              </w:rPr>
              <w:t>*******</w:t>
            </w:r>
            <w:r>
              <w:rPr>
                <w:rFonts w:ascii="Times New Roman" w:hAnsi="Times New Roman" w:eastAsia="方正仿宋_GBK" w:cs="Times New Roman"/>
                <w:snapToGrid w:val="0"/>
                <w:color w:val="000000"/>
                <w:kern w:val="2"/>
                <w:sz w:val="26"/>
                <w:szCs w:val="26"/>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2</w:t>
            </w:r>
          </w:p>
        </w:tc>
        <w:tc>
          <w:tcPr>
            <w:tcW w:w="1097" w:type="dxa"/>
            <w:noWrap w:val="0"/>
            <w:vAlign w:val="center"/>
          </w:tcPr>
          <w:p>
            <w:pPr>
              <w:adjustRightInd w:val="0"/>
              <w:snapToGrid w:val="0"/>
              <w:spacing w:line="480" w:lineRule="exact"/>
              <w:jc w:val="center"/>
              <w:rPr>
                <w:rFonts w:hint="eastAsia" w:ascii="Times New Roman" w:hAnsi="Times New Roman" w:eastAsia="方正仿宋_GBK" w:cs="Times New Roman"/>
                <w:color w:val="000000"/>
                <w:kern w:val="0"/>
                <w:sz w:val="26"/>
                <w:szCs w:val="26"/>
              </w:rPr>
            </w:pPr>
            <w:r>
              <w:rPr>
                <w:rFonts w:hint="eastAsia" w:ascii="Times New Roman" w:hAnsi="Times New Roman" w:eastAsia="方正仿宋_GBK" w:cs="Times New Roman"/>
                <w:color w:val="000000"/>
                <w:kern w:val="0"/>
                <w:sz w:val="26"/>
                <w:szCs w:val="26"/>
              </w:rPr>
              <w:t>朱德云</w:t>
            </w:r>
          </w:p>
        </w:tc>
        <w:tc>
          <w:tcPr>
            <w:tcW w:w="80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男</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spacing w:val="-23"/>
                <w:w w:val="90"/>
                <w:kern w:val="2"/>
                <w:sz w:val="26"/>
                <w:szCs w:val="26"/>
              </w:rPr>
            </w:pPr>
            <w:r>
              <w:rPr>
                <w:rFonts w:hint="eastAsia" w:ascii="Times New Roman" w:hAnsi="Times New Roman" w:eastAsia="方正仿宋_GBK" w:cs="Times New Roman"/>
                <w:snapToGrid w:val="0"/>
                <w:color w:val="000000"/>
                <w:spacing w:val="-23"/>
                <w:w w:val="90"/>
                <w:kern w:val="2"/>
                <w:sz w:val="26"/>
                <w:szCs w:val="26"/>
              </w:rPr>
              <w:t>重庆天然气管道公司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hint="eastAsia" w:ascii="Times New Roman" w:hAnsi="Times New Roman" w:eastAsia="方正仿宋_GBK" w:cs="Times New Roman"/>
                <w:color w:val="000000"/>
                <w:kern w:val="0"/>
                <w:sz w:val="26"/>
                <w:szCs w:val="26"/>
              </w:rPr>
              <w:t>13</w:t>
            </w:r>
            <w:r>
              <w:rPr>
                <w:rFonts w:hint="eastAsia" w:ascii="Times New Roman" w:hAnsi="Times New Roman" w:eastAsia="方正仿宋_GBK" w:cs="Times New Roman"/>
                <w:color w:val="000000"/>
                <w:kern w:val="0"/>
                <w:sz w:val="26"/>
                <w:szCs w:val="26"/>
                <w:lang w:val="en-US" w:eastAsia="zh-CN"/>
              </w:rPr>
              <w:t>*******</w:t>
            </w:r>
            <w:r>
              <w:rPr>
                <w:rFonts w:hint="eastAsia" w:ascii="Times New Roman" w:hAnsi="Times New Roman" w:eastAsia="方正仿宋_GBK" w:cs="Times New Roman"/>
                <w:color w:val="000000"/>
                <w:kern w:val="0"/>
                <w:sz w:val="26"/>
                <w:szCs w:val="26"/>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3</w:t>
            </w:r>
          </w:p>
        </w:tc>
        <w:tc>
          <w:tcPr>
            <w:tcW w:w="1097" w:type="dxa"/>
            <w:noWrap w:val="0"/>
            <w:vAlign w:val="center"/>
          </w:tcPr>
          <w:p>
            <w:pPr>
              <w:adjustRightInd w:val="0"/>
              <w:snapToGrid w:val="0"/>
              <w:spacing w:line="480" w:lineRule="exact"/>
              <w:jc w:val="center"/>
              <w:rPr>
                <w:rFonts w:hint="eastAsia" w:ascii="Times New Roman" w:hAnsi="Times New Roman" w:eastAsia="方正仿宋_GBK" w:cs="Times New Roman"/>
                <w:snapToGrid w:val="0"/>
                <w:color w:val="000000"/>
                <w:kern w:val="2"/>
                <w:sz w:val="26"/>
                <w:szCs w:val="26"/>
              </w:rPr>
            </w:pPr>
            <w:r>
              <w:rPr>
                <w:rFonts w:hint="eastAsia" w:ascii="Times New Roman" w:hAnsi="Times New Roman" w:eastAsia="方正仿宋_GBK" w:cs="Times New Roman"/>
                <w:snapToGrid w:val="0"/>
                <w:color w:val="000000"/>
                <w:kern w:val="2"/>
                <w:sz w:val="26"/>
                <w:szCs w:val="26"/>
              </w:rPr>
              <w:t>王  宁</w:t>
            </w:r>
          </w:p>
        </w:tc>
        <w:tc>
          <w:tcPr>
            <w:tcW w:w="80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男</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spacing w:val="-23"/>
                <w:w w:val="90"/>
                <w:kern w:val="2"/>
                <w:sz w:val="26"/>
                <w:szCs w:val="26"/>
              </w:rPr>
            </w:pPr>
            <w:r>
              <w:rPr>
                <w:rFonts w:hint="eastAsia" w:ascii="Times New Roman" w:hAnsi="Times New Roman" w:eastAsia="方正仿宋_GBK" w:cs="Times New Roman"/>
                <w:snapToGrid w:val="0"/>
                <w:color w:val="000000"/>
                <w:spacing w:val="-23"/>
                <w:w w:val="90"/>
                <w:kern w:val="2"/>
                <w:sz w:val="26"/>
                <w:szCs w:val="26"/>
              </w:rPr>
              <w:t>重庆天然气管道公司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hint="eastAsia" w:ascii="Times New Roman" w:hAnsi="Times New Roman" w:eastAsia="方正仿宋_GBK" w:cs="Times New Roman"/>
                <w:snapToGrid w:val="0"/>
                <w:color w:val="000000"/>
                <w:kern w:val="2"/>
                <w:sz w:val="26"/>
                <w:szCs w:val="26"/>
              </w:rPr>
              <w:t>13</w:t>
            </w:r>
            <w:r>
              <w:rPr>
                <w:rFonts w:hint="eastAsia" w:ascii="Times New Roman" w:hAnsi="Times New Roman" w:eastAsia="方正仿宋_GBK" w:cs="Times New Roman"/>
                <w:snapToGrid w:val="0"/>
                <w:color w:val="000000"/>
                <w:kern w:val="2"/>
                <w:sz w:val="26"/>
                <w:szCs w:val="26"/>
                <w:lang w:val="en-US" w:eastAsia="zh-CN"/>
              </w:rPr>
              <w:t>*******</w:t>
            </w:r>
            <w:r>
              <w:rPr>
                <w:rFonts w:hint="eastAsia" w:ascii="Times New Roman" w:hAnsi="Times New Roman" w:eastAsia="方正仿宋_GBK" w:cs="Times New Roman"/>
                <w:snapToGrid w:val="0"/>
                <w:color w:val="000000"/>
                <w:kern w:val="2"/>
                <w:sz w:val="26"/>
                <w:szCs w:val="26"/>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4</w:t>
            </w:r>
          </w:p>
        </w:tc>
        <w:tc>
          <w:tcPr>
            <w:tcW w:w="1097"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谭  凡</w:t>
            </w:r>
          </w:p>
        </w:tc>
        <w:tc>
          <w:tcPr>
            <w:tcW w:w="80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男</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民生公司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15</w:t>
            </w:r>
            <w:r>
              <w:rPr>
                <w:rFonts w:hint="eastAsia" w:ascii="Times New Roman" w:hAnsi="Times New Roman" w:eastAsia="方正仿宋_GBK" w:cs="Times New Roman"/>
                <w:snapToGrid w:val="0"/>
                <w:color w:val="000000"/>
                <w:kern w:val="2"/>
                <w:sz w:val="26"/>
                <w:szCs w:val="26"/>
                <w:lang w:val="en-US" w:eastAsia="zh-CN"/>
              </w:rPr>
              <w:t>*******</w:t>
            </w:r>
            <w:r>
              <w:rPr>
                <w:rFonts w:ascii="Times New Roman" w:hAnsi="Times New Roman" w:eastAsia="方正仿宋_GBK" w:cs="Times New Roman"/>
                <w:snapToGrid w:val="0"/>
                <w:color w:val="000000"/>
                <w:kern w:val="2"/>
                <w:sz w:val="26"/>
                <w:szCs w:val="26"/>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5</w:t>
            </w:r>
          </w:p>
        </w:tc>
        <w:tc>
          <w:tcPr>
            <w:tcW w:w="1097"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石晓栊</w:t>
            </w:r>
          </w:p>
        </w:tc>
        <w:tc>
          <w:tcPr>
            <w:tcW w:w="80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男</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color w:val="000000"/>
                <w:kern w:val="0"/>
                <w:sz w:val="26"/>
                <w:szCs w:val="26"/>
              </w:rPr>
              <w:t>国家管网</w:t>
            </w:r>
            <w:r>
              <w:rPr>
                <w:rFonts w:ascii="Times New Roman" w:hAnsi="Times New Roman" w:eastAsia="方正仿宋_GBK" w:cs="Times New Roman"/>
                <w:snapToGrid w:val="0"/>
                <w:color w:val="000000"/>
                <w:kern w:val="2"/>
                <w:sz w:val="26"/>
                <w:szCs w:val="26"/>
              </w:rPr>
              <w:t>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18</w:t>
            </w:r>
            <w:r>
              <w:rPr>
                <w:rFonts w:hint="eastAsia" w:ascii="Times New Roman" w:hAnsi="Times New Roman" w:eastAsia="方正仿宋_GBK" w:cs="Times New Roman"/>
                <w:snapToGrid w:val="0"/>
                <w:color w:val="000000"/>
                <w:kern w:val="2"/>
                <w:sz w:val="26"/>
                <w:szCs w:val="26"/>
                <w:lang w:val="en-US" w:eastAsia="zh-CN"/>
              </w:rPr>
              <w:t>*******</w:t>
            </w:r>
            <w:r>
              <w:rPr>
                <w:rFonts w:ascii="Times New Roman" w:hAnsi="Times New Roman" w:eastAsia="方正仿宋_GBK" w:cs="Times New Roman"/>
                <w:snapToGrid w:val="0"/>
                <w:color w:val="000000"/>
                <w:kern w:val="2"/>
                <w:sz w:val="26"/>
                <w:szCs w:val="26"/>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6</w:t>
            </w:r>
          </w:p>
        </w:tc>
        <w:tc>
          <w:tcPr>
            <w:tcW w:w="1097"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勒利民</w:t>
            </w:r>
          </w:p>
        </w:tc>
        <w:tc>
          <w:tcPr>
            <w:tcW w:w="80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男</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color w:val="000000"/>
                <w:kern w:val="0"/>
                <w:sz w:val="26"/>
                <w:szCs w:val="26"/>
              </w:rPr>
              <w:t>国家管网</w:t>
            </w:r>
            <w:r>
              <w:rPr>
                <w:rFonts w:ascii="Times New Roman" w:hAnsi="Times New Roman" w:eastAsia="方正仿宋_GBK" w:cs="Times New Roman"/>
                <w:snapToGrid w:val="0"/>
                <w:color w:val="000000"/>
                <w:kern w:val="2"/>
                <w:sz w:val="26"/>
                <w:szCs w:val="26"/>
              </w:rPr>
              <w:t>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13</w:t>
            </w:r>
            <w:r>
              <w:rPr>
                <w:rFonts w:hint="eastAsia" w:ascii="Times New Roman" w:hAnsi="Times New Roman" w:eastAsia="方正仿宋_GBK" w:cs="Times New Roman"/>
                <w:snapToGrid w:val="0"/>
                <w:color w:val="000000"/>
                <w:kern w:val="2"/>
                <w:sz w:val="26"/>
                <w:szCs w:val="26"/>
                <w:lang w:val="en-US" w:eastAsia="zh-CN"/>
              </w:rPr>
              <w:t>*******</w:t>
            </w:r>
            <w:r>
              <w:rPr>
                <w:rFonts w:ascii="Times New Roman" w:hAnsi="Times New Roman" w:eastAsia="方正仿宋_GBK" w:cs="Times New Roman"/>
                <w:snapToGrid w:val="0"/>
                <w:color w:val="000000"/>
                <w:kern w:val="2"/>
                <w:sz w:val="26"/>
                <w:szCs w:val="26"/>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7</w:t>
            </w:r>
          </w:p>
        </w:tc>
        <w:tc>
          <w:tcPr>
            <w:tcW w:w="1097"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苏子建</w:t>
            </w:r>
          </w:p>
        </w:tc>
        <w:tc>
          <w:tcPr>
            <w:tcW w:w="80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男</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color w:val="000000"/>
                <w:kern w:val="0"/>
                <w:sz w:val="26"/>
                <w:szCs w:val="26"/>
              </w:rPr>
              <w:t>国家管网</w:t>
            </w:r>
            <w:r>
              <w:rPr>
                <w:rFonts w:ascii="Times New Roman" w:hAnsi="Times New Roman" w:eastAsia="方正仿宋_GBK" w:cs="Times New Roman"/>
                <w:snapToGrid w:val="0"/>
                <w:color w:val="000000"/>
                <w:kern w:val="2"/>
                <w:sz w:val="26"/>
                <w:szCs w:val="26"/>
              </w:rPr>
              <w:t>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18</w:t>
            </w:r>
            <w:r>
              <w:rPr>
                <w:rFonts w:hint="eastAsia" w:ascii="Times New Roman" w:hAnsi="Times New Roman" w:eastAsia="方正仿宋_GBK" w:cs="Times New Roman"/>
                <w:snapToGrid w:val="0"/>
                <w:color w:val="000000"/>
                <w:kern w:val="2"/>
                <w:sz w:val="26"/>
                <w:szCs w:val="26"/>
                <w:lang w:val="en-US" w:eastAsia="zh-CN"/>
              </w:rPr>
              <w:t>*******</w:t>
            </w:r>
            <w:r>
              <w:rPr>
                <w:rFonts w:ascii="Times New Roman" w:hAnsi="Times New Roman" w:eastAsia="方正仿宋_GBK" w:cs="Times New Roman"/>
                <w:snapToGrid w:val="0"/>
                <w:color w:val="000000"/>
                <w:kern w:val="2"/>
                <w:sz w:val="26"/>
                <w:szCs w:val="26"/>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8</w:t>
            </w:r>
          </w:p>
        </w:tc>
        <w:tc>
          <w:tcPr>
            <w:tcW w:w="1097"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张继永</w:t>
            </w:r>
          </w:p>
        </w:tc>
        <w:tc>
          <w:tcPr>
            <w:tcW w:w="80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男</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color w:val="000000"/>
                <w:kern w:val="0"/>
                <w:sz w:val="26"/>
                <w:szCs w:val="26"/>
              </w:rPr>
              <w:t>国家管网</w:t>
            </w:r>
            <w:r>
              <w:rPr>
                <w:rFonts w:ascii="Times New Roman" w:hAnsi="Times New Roman" w:eastAsia="方正仿宋_GBK" w:cs="Times New Roman"/>
                <w:snapToGrid w:val="0"/>
                <w:color w:val="000000"/>
                <w:kern w:val="2"/>
                <w:sz w:val="26"/>
                <w:szCs w:val="26"/>
              </w:rPr>
              <w:t>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15</w:t>
            </w:r>
            <w:r>
              <w:rPr>
                <w:rFonts w:hint="eastAsia" w:ascii="Times New Roman" w:hAnsi="Times New Roman" w:eastAsia="方正仿宋_GBK" w:cs="Times New Roman"/>
                <w:snapToGrid w:val="0"/>
                <w:color w:val="000000"/>
                <w:kern w:val="2"/>
                <w:sz w:val="26"/>
                <w:szCs w:val="26"/>
                <w:lang w:val="en-US" w:eastAsia="zh-CN"/>
              </w:rPr>
              <w:t>*******</w:t>
            </w:r>
            <w:r>
              <w:rPr>
                <w:rFonts w:ascii="Times New Roman" w:hAnsi="Times New Roman" w:eastAsia="方正仿宋_GBK" w:cs="Times New Roman"/>
                <w:snapToGrid w:val="0"/>
                <w:color w:val="000000"/>
                <w:kern w:val="2"/>
                <w:sz w:val="26"/>
                <w:szCs w:val="26"/>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9</w:t>
            </w:r>
          </w:p>
        </w:tc>
        <w:tc>
          <w:tcPr>
            <w:tcW w:w="1097"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李同翔</w:t>
            </w:r>
          </w:p>
        </w:tc>
        <w:tc>
          <w:tcPr>
            <w:tcW w:w="80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男</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color w:val="000000"/>
                <w:kern w:val="0"/>
                <w:sz w:val="26"/>
                <w:szCs w:val="26"/>
              </w:rPr>
              <w:t>国家管网</w:t>
            </w:r>
            <w:r>
              <w:rPr>
                <w:rFonts w:ascii="Times New Roman" w:hAnsi="Times New Roman" w:eastAsia="方正仿宋_GBK" w:cs="Times New Roman"/>
                <w:snapToGrid w:val="0"/>
                <w:color w:val="000000"/>
                <w:kern w:val="2"/>
                <w:sz w:val="26"/>
                <w:szCs w:val="26"/>
              </w:rPr>
              <w:t>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18</w:t>
            </w:r>
            <w:r>
              <w:rPr>
                <w:rFonts w:hint="eastAsia" w:ascii="Times New Roman" w:hAnsi="Times New Roman" w:eastAsia="方正仿宋_GBK" w:cs="Times New Roman"/>
                <w:snapToGrid w:val="0"/>
                <w:color w:val="000000"/>
                <w:kern w:val="2"/>
                <w:sz w:val="26"/>
                <w:szCs w:val="26"/>
                <w:lang w:val="en-US" w:eastAsia="zh-CN"/>
              </w:rPr>
              <w:t>*******</w:t>
            </w:r>
            <w:r>
              <w:rPr>
                <w:rFonts w:ascii="Times New Roman" w:hAnsi="Times New Roman" w:eastAsia="方正仿宋_GBK" w:cs="Times New Roman"/>
                <w:snapToGrid w:val="0"/>
                <w:color w:val="000000"/>
                <w:kern w:val="2"/>
                <w:sz w:val="26"/>
                <w:szCs w:val="26"/>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 w:hRule="atLeast"/>
          <w:jc w:val="center"/>
        </w:trPr>
        <w:tc>
          <w:tcPr>
            <w:tcW w:w="763"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10</w:t>
            </w:r>
          </w:p>
        </w:tc>
        <w:tc>
          <w:tcPr>
            <w:tcW w:w="1097"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彭</w:t>
            </w:r>
            <w:r>
              <w:rPr>
                <w:rFonts w:hint="eastAsia" w:ascii="Times New Roman" w:hAnsi="Times New Roman" w:eastAsia="方正仿宋_GBK" w:cs="Times New Roman"/>
                <w:snapToGrid w:val="0"/>
                <w:color w:val="000000"/>
                <w:kern w:val="2"/>
                <w:sz w:val="26"/>
                <w:szCs w:val="26"/>
              </w:rPr>
              <w:t xml:space="preserve">  </w:t>
            </w:r>
            <w:r>
              <w:rPr>
                <w:rFonts w:ascii="Times New Roman" w:hAnsi="Times New Roman" w:eastAsia="方正仿宋_GBK" w:cs="Times New Roman"/>
                <w:snapToGrid w:val="0"/>
                <w:color w:val="000000"/>
                <w:kern w:val="2"/>
                <w:sz w:val="26"/>
                <w:szCs w:val="26"/>
              </w:rPr>
              <w:t>波</w:t>
            </w:r>
          </w:p>
        </w:tc>
        <w:tc>
          <w:tcPr>
            <w:tcW w:w="80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男</w:t>
            </w:r>
          </w:p>
        </w:tc>
        <w:tc>
          <w:tcPr>
            <w:tcW w:w="1216"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油气集输</w:t>
            </w:r>
          </w:p>
        </w:tc>
        <w:tc>
          <w:tcPr>
            <w:tcW w:w="1958" w:type="dxa"/>
            <w:noWrap w:val="0"/>
            <w:vAlign w:val="center"/>
          </w:tcPr>
          <w:p>
            <w:pPr>
              <w:adjustRightInd w:val="0"/>
              <w:snapToGrid w:val="0"/>
              <w:spacing w:line="480" w:lineRule="exact"/>
              <w:jc w:val="center"/>
              <w:rPr>
                <w:rFonts w:ascii="Times New Roman" w:hAnsi="Times New Roman" w:eastAsia="方正仿宋_GBK" w:cs="Times New Roman"/>
                <w:color w:val="000000"/>
                <w:kern w:val="0"/>
                <w:sz w:val="26"/>
                <w:szCs w:val="26"/>
              </w:rPr>
            </w:pPr>
            <w:r>
              <w:rPr>
                <w:rFonts w:ascii="Times New Roman" w:hAnsi="Times New Roman" w:eastAsia="方正仿宋_GBK" w:cs="Times New Roman"/>
                <w:color w:val="000000"/>
                <w:kern w:val="0"/>
                <w:sz w:val="26"/>
                <w:szCs w:val="26"/>
              </w:rPr>
              <w:t>国家管网</w:t>
            </w:r>
            <w:r>
              <w:rPr>
                <w:rFonts w:ascii="Times New Roman" w:hAnsi="Times New Roman" w:eastAsia="方正仿宋_GBK" w:cs="Times New Roman"/>
                <w:snapToGrid w:val="0"/>
                <w:color w:val="000000"/>
                <w:kern w:val="2"/>
                <w:sz w:val="26"/>
                <w:szCs w:val="26"/>
              </w:rPr>
              <w:t>公司</w:t>
            </w:r>
          </w:p>
        </w:tc>
        <w:tc>
          <w:tcPr>
            <w:tcW w:w="1531"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安全及建设</w:t>
            </w:r>
          </w:p>
        </w:tc>
        <w:tc>
          <w:tcPr>
            <w:tcW w:w="1760" w:type="dxa"/>
            <w:noWrap w:val="0"/>
            <w:vAlign w:val="center"/>
          </w:tcPr>
          <w:p>
            <w:pPr>
              <w:adjustRightInd w:val="0"/>
              <w:snapToGrid w:val="0"/>
              <w:spacing w:line="480" w:lineRule="exact"/>
              <w:jc w:val="center"/>
              <w:rPr>
                <w:rFonts w:ascii="Times New Roman" w:hAnsi="Times New Roman" w:eastAsia="方正仿宋_GBK" w:cs="Times New Roman"/>
                <w:snapToGrid w:val="0"/>
                <w:color w:val="000000"/>
                <w:kern w:val="2"/>
                <w:sz w:val="26"/>
                <w:szCs w:val="26"/>
              </w:rPr>
            </w:pPr>
            <w:r>
              <w:rPr>
                <w:rFonts w:ascii="Times New Roman" w:hAnsi="Times New Roman" w:eastAsia="方正仿宋_GBK" w:cs="Times New Roman"/>
                <w:snapToGrid w:val="0"/>
                <w:color w:val="000000"/>
                <w:kern w:val="2"/>
                <w:sz w:val="26"/>
                <w:szCs w:val="26"/>
              </w:rPr>
              <w:t>13</w:t>
            </w:r>
            <w:r>
              <w:rPr>
                <w:rFonts w:hint="eastAsia" w:ascii="Times New Roman" w:hAnsi="Times New Roman" w:eastAsia="方正仿宋_GBK" w:cs="Times New Roman"/>
                <w:snapToGrid w:val="0"/>
                <w:color w:val="000000"/>
                <w:kern w:val="2"/>
                <w:sz w:val="26"/>
                <w:szCs w:val="26"/>
                <w:lang w:val="en-US" w:eastAsia="zh-CN"/>
              </w:rPr>
              <w:t>*******</w:t>
            </w:r>
            <w:r>
              <w:rPr>
                <w:rFonts w:ascii="Times New Roman" w:hAnsi="Times New Roman" w:eastAsia="方正仿宋_GBK" w:cs="Times New Roman"/>
                <w:snapToGrid w:val="0"/>
                <w:color w:val="000000"/>
                <w:kern w:val="2"/>
                <w:sz w:val="26"/>
                <w:szCs w:val="26"/>
              </w:rPr>
              <w:t>99</w:t>
            </w:r>
          </w:p>
        </w:tc>
      </w:tr>
    </w:tbl>
    <w:p>
      <w:pPr>
        <w:rPr>
          <w:rFonts w:hint="eastAsia" w:ascii="Times New Roman" w:hAnsi="Times New Roman" w:eastAsia="方正仿宋_GBK" w:cs="Times New Roman"/>
          <w:b/>
          <w:bCs/>
          <w:kern w:val="0"/>
          <w:sz w:val="20"/>
          <w:szCs w:val="20"/>
        </w:rPr>
      </w:pPr>
    </w:p>
    <w:p>
      <w:pPr>
        <w:rPr>
          <w:rFonts w:hint="eastAsia" w:ascii="Times New Roman" w:hAnsi="Times New Roman" w:eastAsia="方正仿宋_GBK" w:cs="Times New Roman"/>
          <w:b/>
          <w:bCs/>
          <w:kern w:val="0"/>
          <w:sz w:val="20"/>
          <w:szCs w:val="20"/>
        </w:rPr>
      </w:pPr>
    </w:p>
    <w:p>
      <w:pPr>
        <w:snapToGrid w:val="0"/>
        <w:spacing w:line="560" w:lineRule="exact"/>
        <w:ind w:left="1288" w:firstLine="644"/>
        <w:sectPr>
          <w:pgSz w:w="11906" w:h="16838"/>
          <w:pgMar w:top="1985" w:right="1531" w:bottom="1985" w:left="1531" w:header="851" w:footer="1474" w:gutter="0"/>
          <w:pgNumType w:fmt="numberInDash"/>
          <w:cols w:space="720" w:num="1"/>
          <w:docGrid w:linePitch="600" w:charSpace="0"/>
        </w:sectPr>
      </w:pPr>
    </w:p>
    <w:p>
      <w:pPr>
        <w:pStyle w:val="16"/>
        <w:pageBreakBefore/>
        <w:adjustRightInd w:val="0"/>
        <w:snapToGrid w:val="0"/>
        <w:spacing w:before="120" w:after="120" w:line="560" w:lineRule="exact"/>
        <w:jc w:val="both"/>
        <w:rPr>
          <w:rFonts w:hint="eastAsia" w:ascii="方正楷体_GBK" w:hAnsi="Times New Roman" w:eastAsia="方正楷体_GBK"/>
          <w:bCs/>
          <w:kern w:val="0"/>
          <w:lang w:val="zh-CN"/>
        </w:rPr>
      </w:pPr>
      <w:bookmarkStart w:id="107" w:name="_Toc15188"/>
      <w:bookmarkStart w:id="108" w:name="_Toc28868176"/>
      <w:r>
        <w:rPr>
          <w:rFonts w:hint="eastAsia" w:ascii="方正楷体_GBK" w:hAnsi="Times New Roman" w:eastAsia="方正楷体_GBK"/>
          <w:bCs/>
          <w:kern w:val="0"/>
          <w:lang w:val="zh-CN"/>
        </w:rPr>
        <w:t>9.</w:t>
      </w:r>
      <w:r>
        <w:rPr>
          <w:rFonts w:hint="eastAsia" w:ascii="方正楷体_GBK" w:hAnsi="Times New Roman" w:eastAsia="方正楷体_GBK"/>
          <w:bCs/>
          <w:kern w:val="0"/>
          <w:lang w:val="en-US" w:eastAsia="zh-CN"/>
        </w:rPr>
        <w:t>8</w:t>
      </w:r>
      <w:r>
        <w:rPr>
          <w:rFonts w:hint="eastAsia" w:ascii="方正楷体_GBK" w:hAnsi="Times New Roman" w:eastAsia="方正楷体_GBK"/>
          <w:bCs/>
          <w:kern w:val="0"/>
          <w:lang w:val="zh-CN"/>
        </w:rPr>
        <w:t xml:space="preserve"> 应急救援指挥部及各工作组职责图</w:t>
      </w:r>
      <w:bookmarkEnd w:id="107"/>
      <w:bookmarkEnd w:id="108"/>
    </w:p>
    <w:p>
      <w:pPr>
        <w:rPr>
          <w:rFonts w:hint="eastAsia" w:ascii="方正仿宋_GBK" w:hAnsi="Calibri" w:eastAsia="方正仿宋_GBK" w:cs="Times New Roman"/>
          <w:kern w:val="0"/>
          <w:sz w:val="24"/>
          <w:szCs w:val="20"/>
        </w:rPr>
      </w:pPr>
      <w:r>
        <w:rPr>
          <w:rFonts w:hint="eastAsia" w:ascii="方正仿宋_GBK" w:hAnsi="Calibri" w:eastAsia="方正仿宋_GBK" w:cs="Times New Roman"/>
          <w:kern w:val="0"/>
          <w:sz w:val="24"/>
          <w:szCs w:val="20"/>
        </w:rPr>
        <mc:AlternateContent>
          <mc:Choice Requires="wpg">
            <w:drawing>
              <wp:inline distT="0" distB="0" distL="114300" distR="114300">
                <wp:extent cx="9181465" cy="4640580"/>
                <wp:effectExtent l="6350" t="19050" r="13335" b="7620"/>
                <wp:docPr id="25" name="组合 25"/>
                <wp:cNvGraphicFramePr/>
                <a:graphic xmlns:a="http://schemas.openxmlformats.org/drawingml/2006/main">
                  <a:graphicData uri="http://schemas.microsoft.com/office/word/2010/wordprocessingGroup">
                    <wpg:wgp>
                      <wpg:cNvGrpSpPr>
                        <a:grpSpLocks noRot="1"/>
                      </wpg:cNvGrpSpPr>
                      <wpg:grpSpPr>
                        <a:xfrm>
                          <a:off x="0" y="0"/>
                          <a:ext cx="9181465" cy="4640580"/>
                          <a:chOff x="1200" y="1601"/>
                          <a:chExt cx="14459" cy="7308"/>
                        </a:xfrm>
                      </wpg:grpSpPr>
                      <wps:wsp>
                        <wps:cNvPr id="4" name="直接箭头连接符 4"/>
                        <wps:cNvCnPr/>
                        <wps:spPr>
                          <a:xfrm flipH="1">
                            <a:off x="1988" y="4425"/>
                            <a:ext cx="1" cy="350"/>
                          </a:xfrm>
                          <a:prstGeom prst="straightConnector1">
                            <a:avLst/>
                          </a:prstGeom>
                          <a:ln w="12700" cap="flat" cmpd="sng">
                            <a:solidFill>
                              <a:srgbClr val="000000"/>
                            </a:solidFill>
                            <a:prstDash val="solid"/>
                            <a:headEnd type="none" w="med" len="med"/>
                            <a:tailEnd type="stealth" w="lg" len="lg"/>
                          </a:ln>
                        </wps:spPr>
                        <wps:bodyPr/>
                      </wps:wsp>
                      <wps:wsp>
                        <wps:cNvPr id="5" name="直接箭头连接符 5"/>
                        <wps:cNvCnPr/>
                        <wps:spPr>
                          <a:xfrm>
                            <a:off x="1988" y="4420"/>
                            <a:ext cx="12885" cy="6"/>
                          </a:xfrm>
                          <a:prstGeom prst="straightConnector1">
                            <a:avLst/>
                          </a:prstGeom>
                          <a:ln w="12700" cap="flat" cmpd="sng">
                            <a:solidFill>
                              <a:srgbClr val="000000"/>
                            </a:solidFill>
                            <a:prstDash val="solid"/>
                            <a:headEnd type="none" w="med" len="med"/>
                            <a:tailEnd type="none" w="med" len="med"/>
                          </a:ln>
                        </wps:spPr>
                        <wps:bodyPr/>
                      </wps:wsp>
                      <wps:wsp>
                        <wps:cNvPr id="6" name="直接箭头连接符 6"/>
                        <wps:cNvCnPr/>
                        <wps:spPr>
                          <a:xfrm>
                            <a:off x="8371" y="4159"/>
                            <a:ext cx="1" cy="266"/>
                          </a:xfrm>
                          <a:prstGeom prst="straightConnector1">
                            <a:avLst/>
                          </a:prstGeom>
                          <a:ln w="12700" cap="flat" cmpd="sng">
                            <a:solidFill>
                              <a:srgbClr val="000000"/>
                            </a:solidFill>
                            <a:prstDash val="solid"/>
                            <a:headEnd type="none" w="med" len="med"/>
                            <a:tailEnd type="none" w="med" len="med"/>
                          </a:ln>
                        </wps:spPr>
                        <wps:bodyPr/>
                      </wps:wsp>
                      <wps:wsp>
                        <wps:cNvPr id="7" name="矩形 7"/>
                        <wps:cNvSpPr/>
                        <wps:spPr>
                          <a:xfrm>
                            <a:off x="1291" y="2339"/>
                            <a:ext cx="14160" cy="1796"/>
                          </a:xfrm>
                          <a:prstGeom prst="rect">
                            <a:avLst/>
                          </a:prstGeom>
                          <a:noFill/>
                          <a:ln w="12700" cap="flat" cmpd="sng">
                            <a:solidFill>
                              <a:srgbClr val="000000"/>
                            </a:solidFill>
                            <a:prstDash val="solid"/>
                            <a:round/>
                            <a:headEnd type="none" w="med" len="med"/>
                            <a:tailEnd type="none" w="med" len="med"/>
                          </a:ln>
                        </wps:spPr>
                        <wps:txbx>
                          <w:txbxContent>
                            <w:p>
                              <w:pPr>
                                <w:spacing w:before="32" w:line="240" w:lineRule="exact"/>
                                <w:ind w:left="1180" w:hanging="1180"/>
                                <w:rPr>
                                  <w:rFonts w:hint="eastAsia" w:ascii="方正仿宋_GBK" w:hAnsi="Calibri" w:eastAsia="方正仿宋_GBK" w:cs="Times New Roman"/>
                                  <w:kern w:val="0"/>
                                  <w:sz w:val="24"/>
                                  <w:szCs w:val="20"/>
                                </w:rPr>
                              </w:pPr>
                              <w:r>
                                <w:rPr>
                                  <w:rFonts w:hint="eastAsia" w:ascii="方正黑体_GBK" w:hAnsi="黑体" w:eastAsia="方正黑体_GBK" w:cs="Times New Roman"/>
                                  <w:kern w:val="0"/>
                                  <w:sz w:val="24"/>
                                  <w:szCs w:val="20"/>
                                </w:rPr>
                                <w:t>指 挥 长：</w:t>
                              </w:r>
                              <w:r>
                                <w:rPr>
                                  <w:rFonts w:hint="eastAsia" w:ascii="方正仿宋_GBK" w:hAnsi="Calibri" w:eastAsia="方正仿宋_GBK" w:cs="Times New Roman"/>
                                  <w:kern w:val="0"/>
                                  <w:sz w:val="24"/>
                                  <w:szCs w:val="20"/>
                                </w:rPr>
                                <w:t>县政府分管副县长，负责发布应急响应命令，全面组织指挥全县油气长输管道事故应急救援工作。</w:t>
                              </w:r>
                            </w:p>
                            <w:p>
                              <w:pPr>
                                <w:spacing w:before="32" w:line="240" w:lineRule="exact"/>
                                <w:ind w:left="1180" w:hanging="1180"/>
                                <w:rPr>
                                  <w:rFonts w:hint="eastAsia" w:ascii="方正仿宋_GBK" w:hAnsi="Calibri" w:eastAsia="方正仿宋_GBK" w:cs="Times New Roman"/>
                                  <w:kern w:val="0"/>
                                  <w:sz w:val="24"/>
                                  <w:szCs w:val="22"/>
                                  <w:lang w:val="en-US" w:eastAsia="zh-CN"/>
                                </w:rPr>
                              </w:pPr>
                              <w:r>
                                <w:rPr>
                                  <w:rFonts w:hint="eastAsia" w:ascii="方正黑体_GBK" w:hAnsi="黑体" w:eastAsia="方正黑体_GBK" w:cs="Times New Roman"/>
                                  <w:kern w:val="0"/>
                                  <w:sz w:val="24"/>
                                  <w:szCs w:val="20"/>
                                </w:rPr>
                                <w:t>副指挥长：</w:t>
                              </w:r>
                              <w:r>
                                <w:rPr>
                                  <w:rFonts w:hint="eastAsia" w:ascii="方正仿宋_GBK" w:hAnsi="Calibri" w:eastAsia="方正仿宋_GBK" w:cs="Times New Roman"/>
                                  <w:kern w:val="0"/>
                                  <w:sz w:val="24"/>
                                  <w:szCs w:val="22"/>
                                </w:rPr>
                                <w:t>县政府</w:t>
                              </w:r>
                              <w:r>
                                <w:rPr>
                                  <w:rFonts w:hint="eastAsia" w:ascii="方正仿宋_GBK" w:hAnsi="Calibri" w:eastAsia="方正仿宋_GBK" w:cs="Times New Roman"/>
                                  <w:kern w:val="0"/>
                                  <w:sz w:val="24"/>
                                  <w:szCs w:val="22"/>
                                  <w:lang w:eastAsia="zh-CN"/>
                                </w:rPr>
                                <w:t>办公室有关</w:t>
                              </w:r>
                              <w:r>
                                <w:rPr>
                                  <w:rFonts w:hint="eastAsia" w:ascii="方正仿宋_GBK" w:hAnsi="Calibri" w:eastAsia="方正仿宋_GBK" w:cs="Times New Roman"/>
                                  <w:kern w:val="0"/>
                                  <w:sz w:val="24"/>
                                  <w:szCs w:val="22"/>
                                </w:rPr>
                                <w:t>副主任</w:t>
                              </w:r>
                              <w:r>
                                <w:rPr>
                                  <w:rFonts w:hint="eastAsia" w:ascii="方正仿宋_GBK" w:hAnsi="Calibri" w:eastAsia="方正仿宋_GBK" w:cs="Times New Roman"/>
                                  <w:kern w:val="0"/>
                                  <w:sz w:val="24"/>
                                  <w:szCs w:val="22"/>
                                  <w:lang w:eastAsia="zh-CN"/>
                                </w:rPr>
                                <w:t>、</w:t>
                              </w:r>
                              <w:r>
                                <w:rPr>
                                  <w:rFonts w:hint="eastAsia" w:ascii="方正仿宋_GBK" w:hAnsi="Calibri" w:eastAsia="方正仿宋_GBK" w:cs="Times New Roman"/>
                                  <w:kern w:val="0"/>
                                  <w:sz w:val="24"/>
                                  <w:szCs w:val="22"/>
                                </w:rPr>
                                <w:t>县应急管理局、县</w:t>
                              </w:r>
                              <w:r>
                                <w:rPr>
                                  <w:rFonts w:hint="eastAsia" w:ascii="方正仿宋_GBK" w:hAnsi="Calibri" w:eastAsia="方正仿宋_GBK" w:cs="Times New Roman"/>
                                  <w:kern w:val="0"/>
                                  <w:sz w:val="24"/>
                                  <w:szCs w:val="22"/>
                                  <w:lang w:eastAsia="zh-CN"/>
                                </w:rPr>
                                <w:t>发展改革</w:t>
                              </w:r>
                              <w:r>
                                <w:rPr>
                                  <w:rFonts w:hint="eastAsia" w:ascii="方正仿宋_GBK" w:hAnsi="Calibri" w:eastAsia="方正仿宋_GBK" w:cs="Times New Roman"/>
                                  <w:kern w:val="0"/>
                                  <w:sz w:val="24"/>
                                  <w:szCs w:val="22"/>
                                </w:rPr>
                                <w:t>委、县公安局等部门和事故发生地乡镇人民政府主要负责人。</w:t>
                              </w:r>
                              <w:r>
                                <w:rPr>
                                  <w:rFonts w:hint="eastAsia" w:ascii="方正仿宋_GBK" w:hAnsi="Calibri" w:eastAsia="方正仿宋_GBK" w:cs="Times New Roman"/>
                                  <w:kern w:val="0"/>
                                  <w:sz w:val="24"/>
                                  <w:szCs w:val="22"/>
                                  <w:lang w:val="en-US" w:eastAsia="zh-CN"/>
                                </w:rPr>
                                <w:t xml:space="preserve"> </w:t>
                              </w:r>
                            </w:p>
                            <w:p>
                              <w:pPr>
                                <w:spacing w:before="32" w:line="240" w:lineRule="exact"/>
                                <w:ind w:left="1180" w:hanging="1180"/>
                                <w:rPr>
                                  <w:rFonts w:hint="eastAsia" w:ascii="方正仿宋_GBK" w:hAnsi="Calibri" w:eastAsia="方正仿宋_GBK" w:cs="Times New Roman"/>
                                  <w:kern w:val="0"/>
                                  <w:sz w:val="24"/>
                                  <w:szCs w:val="20"/>
                                </w:rPr>
                              </w:pPr>
                              <w:r>
                                <w:rPr>
                                  <w:rFonts w:hint="eastAsia" w:ascii="方正黑体_GBK" w:hAnsi="黑体" w:eastAsia="方正黑体_GBK" w:cs="Times New Roman"/>
                                  <w:kern w:val="0"/>
                                  <w:sz w:val="24"/>
                                  <w:szCs w:val="20"/>
                                </w:rPr>
                                <w:t>主要职责：</w:t>
                              </w:r>
                              <w:r>
                                <w:rPr>
                                  <w:rFonts w:hint="eastAsia" w:ascii="方正仿宋_GBK" w:hAnsi="Calibri" w:eastAsia="方正仿宋_GBK" w:cs="Times New Roman"/>
                                  <w:kern w:val="0"/>
                                  <w:sz w:val="24"/>
                                  <w:szCs w:val="20"/>
                                </w:rPr>
                                <w:t>召开指挥部会议，传达上级有关指示精神，听取各工作组情况汇报，研究部署处置过程中的重大事宜；向市应急救援指挥部和县</w:t>
                              </w:r>
                              <w:r>
                                <w:rPr>
                                  <w:rFonts w:hint="eastAsia" w:ascii="方正仿宋_GBK" w:hAnsi="Calibri" w:eastAsia="方正仿宋_GBK" w:cs="Times New Roman"/>
                                  <w:kern w:val="0"/>
                                  <w:sz w:val="24"/>
                                  <w:szCs w:val="20"/>
                                  <w:lang w:eastAsia="zh-CN"/>
                                </w:rPr>
                                <w:t>委、县</w:t>
                              </w:r>
                              <w:r>
                                <w:rPr>
                                  <w:rFonts w:hint="eastAsia" w:ascii="方正仿宋_GBK" w:hAnsi="Calibri" w:eastAsia="方正仿宋_GBK" w:cs="Times New Roman"/>
                                  <w:kern w:val="0"/>
                                  <w:sz w:val="24"/>
                                  <w:szCs w:val="20"/>
                                </w:rPr>
                                <w:t>政府汇报事故处置应对情况；组织调度有关队伍、专家、物资、装备；收集掌握涉及事故有关信息，综合分析事故预测预警信息，正确研判可能发生的事故以及紧急状态，评价其影响范围、程度，提出应对措施；按分级响应的规定，做好相关事故处置应急救援协调工作。</w:t>
                              </w:r>
                            </w:p>
                            <w:p>
                              <w:pPr>
                                <w:spacing w:line="240" w:lineRule="exact"/>
                                <w:ind w:left="2360" w:firstLine="1180"/>
                                <w:rPr>
                                  <w:rFonts w:hint="eastAsia" w:ascii="方正仿宋_GBK" w:hAnsi="Calibri" w:eastAsia="方正仿宋_GBK" w:cs="Times New Roman"/>
                                  <w:kern w:val="0"/>
                                  <w:sz w:val="24"/>
                                  <w:szCs w:val="20"/>
                                </w:rPr>
                              </w:pPr>
                            </w:p>
                          </w:txbxContent>
                        </wps:txbx>
                        <wps:bodyPr lIns="0" tIns="0" rIns="0" bIns="0" upright="1">
                          <a:spAutoFit/>
                        </wps:bodyPr>
                      </wps:wsp>
                      <wps:wsp>
                        <wps:cNvPr id="8" name="矩形 8"/>
                        <wps:cNvSpPr/>
                        <wps:spPr>
                          <a:xfrm>
                            <a:off x="4503" y="1601"/>
                            <a:ext cx="7724" cy="413"/>
                          </a:xfrm>
                          <a:prstGeom prst="rect">
                            <a:avLst/>
                          </a:prstGeom>
                          <a:noFill/>
                          <a:ln w="38100" cap="flat" cmpd="dbl">
                            <a:solidFill>
                              <a:srgbClr val="000000"/>
                            </a:solidFill>
                            <a:prstDash val="solid"/>
                            <a:round/>
                            <a:headEnd type="none" w="med" len="med"/>
                            <a:tailEnd type="none" w="med" len="med"/>
                          </a:ln>
                        </wps:spPr>
                        <wps:txbx>
                          <w:txbxContent>
                            <w:p>
                              <w:pPr>
                                <w:spacing w:line="320" w:lineRule="exact"/>
                                <w:jc w:val="center"/>
                                <w:rPr>
                                  <w:rFonts w:hint="eastAsia" w:ascii="方正黑体_GBK" w:hAnsi="黑体" w:eastAsia="方正黑体_GBK" w:cs="Times New Roman"/>
                                  <w:kern w:val="0"/>
                                  <w:sz w:val="24"/>
                                  <w:szCs w:val="20"/>
                                </w:rPr>
                              </w:pPr>
                              <w:r>
                                <w:rPr>
                                  <w:rFonts w:hint="eastAsia" w:ascii="方正黑体_GBK" w:hAnsi="黑体" w:eastAsia="方正黑体_GBK" w:cs="Times New Roman"/>
                                  <w:kern w:val="0"/>
                                  <w:sz w:val="24"/>
                                  <w:szCs w:val="20"/>
                                </w:rPr>
                                <w:t>重庆市石柱县油气长输管道事故应急救援指挥部</w:t>
                              </w:r>
                            </w:p>
                          </w:txbxContent>
                        </wps:txbx>
                        <wps:bodyPr lIns="0" tIns="0" rIns="0" bIns="0" upright="1"/>
                      </wps:wsp>
                      <wps:wsp>
                        <wps:cNvPr id="9" name="直接箭头连接符 9"/>
                        <wps:cNvCnPr/>
                        <wps:spPr>
                          <a:xfrm>
                            <a:off x="8365" y="2044"/>
                            <a:ext cx="6" cy="295"/>
                          </a:xfrm>
                          <a:prstGeom prst="straightConnector1">
                            <a:avLst/>
                          </a:prstGeom>
                          <a:ln w="12700" cap="flat" cmpd="sng">
                            <a:solidFill>
                              <a:srgbClr val="000000"/>
                            </a:solidFill>
                            <a:prstDash val="solid"/>
                            <a:headEnd type="none" w="med" len="med"/>
                            <a:tailEnd type="none" w="med" len="med"/>
                          </a:ln>
                        </wps:spPr>
                        <wps:bodyPr/>
                      </wps:wsp>
                      <wps:wsp>
                        <wps:cNvPr id="10" name="矩形 10"/>
                        <wps:cNvSpPr/>
                        <wps:spPr>
                          <a:xfrm>
                            <a:off x="3045" y="4774"/>
                            <a:ext cx="1575" cy="4135"/>
                          </a:xfrm>
                          <a:prstGeom prst="rect">
                            <a:avLst/>
                          </a:prstGeom>
                          <a:noFill/>
                          <a:ln w="12700" cap="flat" cmpd="sng">
                            <a:solidFill>
                              <a:srgbClr val="000000"/>
                            </a:solidFill>
                            <a:prstDash val="solid"/>
                            <a:round/>
                            <a:headEnd type="none" w="med" len="med"/>
                            <a:tailEnd type="none" w="med" len="med"/>
                          </a:ln>
                        </wps:spPr>
                        <wps:txbx>
                          <w:txbxContent>
                            <w:p>
                              <w:pPr>
                                <w:spacing w:line="240" w:lineRule="exact"/>
                                <w:rPr>
                                  <w:rFonts w:hint="eastAsia" w:ascii="方正仿宋_GBK" w:hAnsi="Calibri" w:eastAsia="方正仿宋_GBK" w:cs="Times New Roman"/>
                                  <w:kern w:val="0"/>
                                  <w:sz w:val="20"/>
                                  <w:szCs w:val="21"/>
                                </w:rPr>
                              </w:pPr>
                              <w:r>
                                <w:rPr>
                                  <w:rFonts w:hint="eastAsia" w:ascii="方正仿宋_GBK" w:hAnsi="Calibri" w:eastAsia="方正仿宋_GBK" w:cs="Times New Roman"/>
                                  <w:b/>
                                  <w:kern w:val="0"/>
                                  <w:sz w:val="21"/>
                                  <w:szCs w:val="21"/>
                                </w:rPr>
                                <w:t>抢险救援组：</w:t>
                              </w:r>
                              <w:bookmarkStart w:id="136" w:name="_Hlk104712469"/>
                              <w:r>
                                <w:rPr>
                                  <w:rFonts w:hint="eastAsia" w:ascii="方正仿宋_GBK" w:hAnsi="Calibri" w:eastAsia="方正仿宋_GBK" w:cs="Times New Roman"/>
                                  <w:kern w:val="0"/>
                                  <w:sz w:val="20"/>
                                  <w:szCs w:val="21"/>
                                </w:rPr>
                                <w:t>县</w:t>
                              </w:r>
                              <w:bookmarkEnd w:id="136"/>
                              <w:r>
                                <w:rPr>
                                  <w:rFonts w:hint="eastAsia" w:ascii="方正仿宋_GBK" w:hAnsi="Calibri" w:eastAsia="方正仿宋_GBK" w:cs="Times New Roman"/>
                                  <w:kern w:val="0"/>
                                  <w:sz w:val="20"/>
                                  <w:szCs w:val="21"/>
                                </w:rPr>
                                <w:t>发展改革委牵头，</w:t>
                              </w:r>
                              <w:r>
                                <w:rPr>
                                  <w:rFonts w:hint="eastAsia" w:ascii="方正仿宋_GBK" w:hAnsi="Calibri" w:eastAsia="方正仿宋_GBK" w:cs="Times New Roman"/>
                                  <w:bCs/>
                                  <w:kern w:val="0"/>
                                  <w:sz w:val="21"/>
                                  <w:szCs w:val="20"/>
                                </w:rPr>
                                <w:t>县应急管理局</w:t>
                              </w:r>
                              <w:r>
                                <w:rPr>
                                  <w:rFonts w:hint="eastAsia" w:ascii="方正仿宋_GBK" w:hAnsi="Calibri" w:eastAsia="方正仿宋_GBK" w:cs="Times New Roman"/>
                                  <w:kern w:val="0"/>
                                  <w:sz w:val="20"/>
                                  <w:szCs w:val="21"/>
                                </w:rPr>
                                <w:t>、</w:t>
                              </w:r>
                              <w:bookmarkStart w:id="137" w:name="_Hlk105672159"/>
                              <w:r>
                                <w:rPr>
                                  <w:rFonts w:hint="eastAsia" w:ascii="方正仿宋_GBK" w:hAnsi="Calibri" w:eastAsia="方正仿宋_GBK" w:cs="Times New Roman"/>
                                  <w:bCs/>
                                  <w:kern w:val="0"/>
                                  <w:sz w:val="21"/>
                                  <w:szCs w:val="20"/>
                                </w:rPr>
                                <w:t>县</w:t>
                              </w:r>
                              <w:bookmarkEnd w:id="137"/>
                              <w:r>
                                <w:rPr>
                                  <w:rFonts w:hint="eastAsia" w:ascii="方正仿宋_GBK" w:hAnsi="Calibri" w:eastAsia="方正仿宋_GBK" w:cs="Times New Roman"/>
                                  <w:kern w:val="0"/>
                                  <w:sz w:val="20"/>
                                  <w:szCs w:val="21"/>
                                </w:rPr>
                                <w:t>公安局、</w:t>
                              </w:r>
                              <w:r>
                                <w:rPr>
                                  <w:rFonts w:hint="eastAsia" w:ascii="方正仿宋_GBK" w:hAnsi="Calibri" w:eastAsia="方正仿宋_GBK" w:cs="Times New Roman"/>
                                  <w:bCs/>
                                  <w:kern w:val="0"/>
                                  <w:sz w:val="21"/>
                                  <w:szCs w:val="20"/>
                                </w:rPr>
                                <w:t>县消防救援大队</w:t>
                              </w:r>
                              <w:r>
                                <w:rPr>
                                  <w:rFonts w:hint="eastAsia" w:ascii="方正仿宋_GBK" w:hAnsi="Calibri" w:eastAsia="方正仿宋_GBK" w:cs="Times New Roman"/>
                                  <w:kern w:val="0"/>
                                  <w:sz w:val="20"/>
                                  <w:szCs w:val="21"/>
                                </w:rPr>
                                <w:t>、</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经济信息委、</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生态环境局、</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规划自然资源局、</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市场监管局、</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气象局、事发地乡镇政府、发生事故管道企业参加。主要职责：负责组织专业救援队伍实施救援，消除次生灾害隐患，清理现场等。</w:t>
                              </w:r>
                            </w:p>
                          </w:txbxContent>
                        </wps:txbx>
                        <wps:bodyPr lIns="0" tIns="0" rIns="0" bIns="0" upright="1"/>
                      </wps:wsp>
                      <wps:wsp>
                        <wps:cNvPr id="11" name="直接箭头连接符 11"/>
                        <wps:cNvCnPr/>
                        <wps:spPr>
                          <a:xfrm>
                            <a:off x="3832" y="4420"/>
                            <a:ext cx="1" cy="354"/>
                          </a:xfrm>
                          <a:prstGeom prst="straightConnector1">
                            <a:avLst/>
                          </a:prstGeom>
                          <a:ln w="12700" cap="flat" cmpd="sng">
                            <a:solidFill>
                              <a:srgbClr val="000000"/>
                            </a:solidFill>
                            <a:prstDash val="solid"/>
                            <a:headEnd type="none" w="med" len="med"/>
                            <a:tailEnd type="stealth" w="lg" len="lg"/>
                          </a:ln>
                        </wps:spPr>
                        <wps:bodyPr/>
                      </wps:wsp>
                      <wps:wsp>
                        <wps:cNvPr id="12" name="矩形 12"/>
                        <wps:cNvSpPr/>
                        <wps:spPr>
                          <a:xfrm>
                            <a:off x="4890" y="4774"/>
                            <a:ext cx="1575" cy="4135"/>
                          </a:xfrm>
                          <a:prstGeom prst="rect">
                            <a:avLst/>
                          </a:prstGeom>
                          <a:noFill/>
                          <a:ln w="12700" cap="flat" cmpd="sng">
                            <a:solidFill>
                              <a:srgbClr val="000000"/>
                            </a:solidFill>
                            <a:prstDash val="solid"/>
                            <a:round/>
                            <a:headEnd type="none" w="med" len="med"/>
                            <a:tailEnd type="none" w="med" len="med"/>
                          </a:ln>
                        </wps:spPr>
                        <wps:txbx>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医学救援组：</w:t>
                              </w:r>
                              <w:bookmarkStart w:id="138" w:name="_Hlk104712492"/>
                              <w:r>
                                <w:rPr>
                                  <w:rFonts w:hint="eastAsia" w:ascii="方正仿宋_GBK" w:hAnsi="Calibri" w:eastAsia="方正仿宋_GBK" w:cs="Times New Roman"/>
                                  <w:bCs/>
                                  <w:kern w:val="0"/>
                                  <w:sz w:val="21"/>
                                  <w:szCs w:val="20"/>
                                </w:rPr>
                                <w:t>县</w:t>
                              </w:r>
                              <w:bookmarkEnd w:id="138"/>
                              <w:r>
                                <w:rPr>
                                  <w:rFonts w:hint="eastAsia" w:ascii="方正仿宋_GBK" w:hAnsi="Calibri" w:eastAsia="方正仿宋_GBK" w:cs="Times New Roman"/>
                                  <w:kern w:val="0"/>
                                  <w:sz w:val="21"/>
                                  <w:szCs w:val="20"/>
                                </w:rPr>
                                <w:t>卫生健康委牵头，有关医疗卫生机构、事发地乡镇人民政府、发生事故的管道企业参加。主要职责：组织开展伤病员医疗救治、心理援助；统计核实事故伤亡情况等。</w:t>
                              </w:r>
                            </w:p>
                          </w:txbxContent>
                        </wps:txbx>
                        <wps:bodyPr lIns="0" tIns="0" rIns="0" bIns="0" upright="1"/>
                      </wps:wsp>
                      <wps:wsp>
                        <wps:cNvPr id="13" name="直接箭头连接符 13"/>
                        <wps:cNvCnPr/>
                        <wps:spPr>
                          <a:xfrm>
                            <a:off x="5677" y="4425"/>
                            <a:ext cx="1" cy="349"/>
                          </a:xfrm>
                          <a:prstGeom prst="straightConnector1">
                            <a:avLst/>
                          </a:prstGeom>
                          <a:ln w="12700" cap="flat" cmpd="sng">
                            <a:solidFill>
                              <a:srgbClr val="000000"/>
                            </a:solidFill>
                            <a:prstDash val="solid"/>
                            <a:headEnd type="none" w="med" len="med"/>
                            <a:tailEnd type="stealth" w="lg" len="lg"/>
                          </a:ln>
                        </wps:spPr>
                        <wps:bodyPr/>
                      </wps:wsp>
                      <wps:wsp>
                        <wps:cNvPr id="14" name="矩形 14"/>
                        <wps:cNvSpPr/>
                        <wps:spPr>
                          <a:xfrm>
                            <a:off x="6735" y="4774"/>
                            <a:ext cx="1575" cy="4135"/>
                          </a:xfrm>
                          <a:prstGeom prst="rect">
                            <a:avLst/>
                          </a:prstGeom>
                          <a:noFill/>
                          <a:ln w="12700" cap="flat" cmpd="sng">
                            <a:solidFill>
                              <a:srgbClr val="000000"/>
                            </a:solidFill>
                            <a:prstDash val="solid"/>
                            <a:round/>
                            <a:headEnd type="none" w="med" len="med"/>
                            <a:tailEnd type="none" w="med" len="med"/>
                          </a:ln>
                        </wps:spPr>
                        <wps:txbx>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秩序维护组：</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1"/>
                                  <w:szCs w:val="20"/>
                                </w:rPr>
                                <w:t>公安局牵头，事发地乡镇人民政府参加。主要职责：封锁、警戒、控制、保护事故现场及周边区域，维护现场治安；疏散转移现场和周边受威胁区域人员；开展交通管制，在现场外围开辟专用通道供应急救援车辆和人员通行。</w:t>
                              </w:r>
                            </w:p>
                          </w:txbxContent>
                        </wps:txbx>
                        <wps:bodyPr lIns="0" tIns="0" rIns="0" bIns="0" upright="1"/>
                      </wps:wsp>
                      <wps:wsp>
                        <wps:cNvPr id="15" name="直接箭头连接符 15"/>
                        <wps:cNvCnPr/>
                        <wps:spPr>
                          <a:xfrm>
                            <a:off x="7522" y="4425"/>
                            <a:ext cx="1" cy="349"/>
                          </a:xfrm>
                          <a:prstGeom prst="straightConnector1">
                            <a:avLst/>
                          </a:prstGeom>
                          <a:ln w="12700" cap="flat" cmpd="sng">
                            <a:solidFill>
                              <a:srgbClr val="000000"/>
                            </a:solidFill>
                            <a:prstDash val="solid"/>
                            <a:headEnd type="none" w="med" len="med"/>
                            <a:tailEnd type="stealth" w="lg" len="lg"/>
                          </a:ln>
                        </wps:spPr>
                        <wps:bodyPr/>
                      </wps:wsp>
                      <wps:wsp>
                        <wps:cNvPr id="16" name="矩形 16"/>
                        <wps:cNvSpPr/>
                        <wps:spPr>
                          <a:xfrm>
                            <a:off x="8565" y="4774"/>
                            <a:ext cx="1575" cy="4135"/>
                          </a:xfrm>
                          <a:prstGeom prst="rect">
                            <a:avLst/>
                          </a:prstGeom>
                          <a:noFill/>
                          <a:ln w="12700" cap="flat" cmpd="sng">
                            <a:solidFill>
                              <a:srgbClr val="000000"/>
                            </a:solidFill>
                            <a:prstDash val="solid"/>
                            <a:round/>
                            <a:headEnd type="none" w="med" len="med"/>
                            <a:tailEnd type="none" w="med" len="med"/>
                          </a:ln>
                        </wps:spPr>
                        <wps:txbx>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舆论引导组：</w:t>
                              </w:r>
                              <w:r>
                                <w:rPr>
                                  <w:rFonts w:hint="eastAsia" w:ascii="方正仿宋_GBK" w:hAnsi="Calibri" w:eastAsia="方正仿宋_GBK" w:cs="Times New Roman"/>
                                  <w:kern w:val="0"/>
                                  <w:sz w:val="21"/>
                                  <w:szCs w:val="20"/>
                                  <w:highlight w:val="none"/>
                                  <w:lang w:eastAsia="zh-CN"/>
                                </w:rPr>
                                <w:t>县政府新闻办</w:t>
                              </w:r>
                              <w:r>
                                <w:rPr>
                                  <w:rFonts w:hint="eastAsia" w:ascii="方正仿宋_GBK" w:hAnsi="Calibri" w:eastAsia="方正仿宋_GBK" w:cs="Times New Roman"/>
                                  <w:kern w:val="0"/>
                                  <w:sz w:val="21"/>
                                  <w:szCs w:val="20"/>
                                  <w:highlight w:val="none"/>
                                </w:rPr>
                                <w:t>牵头，</w:t>
                              </w:r>
                              <w:r>
                                <w:rPr>
                                  <w:rFonts w:hint="eastAsia" w:ascii="方正仿宋_GBK" w:hAnsi="Calibri" w:eastAsia="方正仿宋_GBK" w:cs="Times New Roman"/>
                                  <w:bCs/>
                                  <w:kern w:val="0"/>
                                  <w:sz w:val="21"/>
                                  <w:szCs w:val="20"/>
                                  <w:highlight w:val="none"/>
                                </w:rPr>
                                <w:t>县</w:t>
                              </w:r>
                              <w:r>
                                <w:rPr>
                                  <w:rFonts w:hint="eastAsia" w:ascii="方正仿宋_GBK" w:hAnsi="Calibri" w:eastAsia="方正仿宋_GBK" w:cs="Times New Roman"/>
                                  <w:kern w:val="0"/>
                                  <w:sz w:val="21"/>
                                  <w:szCs w:val="20"/>
                                  <w:highlight w:val="none"/>
                                </w:rPr>
                                <w:t>发展改</w:t>
                              </w:r>
                              <w:r>
                                <w:rPr>
                                  <w:rFonts w:hint="eastAsia" w:ascii="方正仿宋_GBK" w:hAnsi="Calibri" w:eastAsia="方正仿宋_GBK" w:cs="Times New Roman"/>
                                  <w:kern w:val="0"/>
                                  <w:sz w:val="21"/>
                                  <w:szCs w:val="20"/>
                                </w:rPr>
                                <w:t>革委、</w:t>
                              </w:r>
                              <w:r>
                                <w:rPr>
                                  <w:rFonts w:hint="eastAsia" w:ascii="方正仿宋_GBK" w:hAnsi="Calibri" w:eastAsia="方正仿宋_GBK" w:cs="Times New Roman"/>
                                  <w:bCs/>
                                  <w:kern w:val="0"/>
                                  <w:sz w:val="21"/>
                                  <w:szCs w:val="20"/>
                                </w:rPr>
                                <w:t>县应急管理局</w:t>
                              </w:r>
                              <w:r>
                                <w:rPr>
                                  <w:rFonts w:hint="eastAsia" w:ascii="方正仿宋_GBK" w:hAnsi="Calibri" w:eastAsia="方正仿宋_GBK" w:cs="Times New Roman"/>
                                  <w:kern w:val="0"/>
                                  <w:sz w:val="21"/>
                                  <w:szCs w:val="20"/>
                                </w:rPr>
                                <w:t>、</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1"/>
                                  <w:szCs w:val="20"/>
                                </w:rPr>
                                <w:t>生态环境局、</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1"/>
                                  <w:szCs w:val="20"/>
                                </w:rPr>
                                <w:t>公安局、</w:t>
                              </w:r>
                              <w:r>
                                <w:rPr>
                                  <w:rFonts w:hint="eastAsia" w:ascii="方正仿宋_GBK" w:hAnsi="Calibri" w:eastAsia="方正仿宋_GBK" w:cs="Times New Roman"/>
                                  <w:bCs/>
                                  <w:kern w:val="0"/>
                                  <w:sz w:val="21"/>
                                  <w:szCs w:val="20"/>
                                </w:rPr>
                                <w:t>县委网信办</w:t>
                              </w:r>
                              <w:r>
                                <w:rPr>
                                  <w:rFonts w:hint="eastAsia" w:ascii="方正仿宋_GBK" w:hAnsi="Calibri" w:eastAsia="方正仿宋_GBK" w:cs="Times New Roman"/>
                                  <w:kern w:val="0"/>
                                  <w:sz w:val="21"/>
                                  <w:szCs w:val="20"/>
                                </w:rPr>
                                <w:t>等参加。主要职责：及时、准确、客观发布权威信息；汇总收集相关舆情；组织开展宣传报道；做好现场媒体记者的接待；做好舆论引导工作。</w:t>
                              </w:r>
                            </w:p>
                          </w:txbxContent>
                        </wps:txbx>
                        <wps:bodyPr lIns="0" tIns="0" rIns="0" bIns="0" upright="1"/>
                      </wps:wsp>
                      <wps:wsp>
                        <wps:cNvPr id="17" name="直接箭头连接符 17"/>
                        <wps:cNvCnPr/>
                        <wps:spPr>
                          <a:xfrm>
                            <a:off x="9352" y="4425"/>
                            <a:ext cx="1" cy="349"/>
                          </a:xfrm>
                          <a:prstGeom prst="straightConnector1">
                            <a:avLst/>
                          </a:prstGeom>
                          <a:ln w="12700" cap="flat" cmpd="sng">
                            <a:solidFill>
                              <a:srgbClr val="000000"/>
                            </a:solidFill>
                            <a:prstDash val="solid"/>
                            <a:headEnd type="none" w="med" len="med"/>
                            <a:tailEnd type="stealth" w="lg" len="lg"/>
                          </a:ln>
                        </wps:spPr>
                        <wps:bodyPr/>
                      </wps:wsp>
                      <wps:wsp>
                        <wps:cNvPr id="18" name="矩形 18"/>
                        <wps:cNvSpPr/>
                        <wps:spPr>
                          <a:xfrm>
                            <a:off x="10410" y="4775"/>
                            <a:ext cx="1575" cy="4134"/>
                          </a:xfrm>
                          <a:prstGeom prst="rect">
                            <a:avLst/>
                          </a:prstGeom>
                          <a:noFill/>
                          <a:ln w="12700" cap="flat" cmpd="sng">
                            <a:solidFill>
                              <a:srgbClr val="000000"/>
                            </a:solidFill>
                            <a:prstDash val="solid"/>
                            <a:round/>
                            <a:headEnd type="none" w="med" len="med"/>
                            <a:tailEnd type="none" w="med" len="med"/>
                          </a:ln>
                        </wps:spPr>
                        <wps:txbx>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应急保障组：</w:t>
                              </w:r>
                              <w:r>
                                <w:rPr>
                                  <w:rFonts w:hint="eastAsia" w:ascii="方正仿宋_GBK" w:hAnsi="Calibri" w:eastAsia="方正仿宋_GBK" w:cs="Times New Roman"/>
                                  <w:kern w:val="0"/>
                                  <w:sz w:val="21"/>
                                  <w:szCs w:val="20"/>
                                </w:rPr>
                                <w:t>事发地乡镇人民政府，县财政局、县发展改革委、县民政局、县交通局、县商务委等参加。主要职责：提供应急处置后勤服务；提供必要办公用品和交通、通信等工具；调集抢险救援所需装备、物资等；保障应急通信。</w:t>
                              </w:r>
                            </w:p>
                          </w:txbxContent>
                        </wps:txbx>
                        <wps:bodyPr lIns="0" tIns="0" rIns="0" bIns="0" upright="1"/>
                      </wps:wsp>
                      <wps:wsp>
                        <wps:cNvPr id="19" name="直接箭头连接符 19"/>
                        <wps:cNvCnPr/>
                        <wps:spPr>
                          <a:xfrm>
                            <a:off x="11197" y="4425"/>
                            <a:ext cx="1" cy="350"/>
                          </a:xfrm>
                          <a:prstGeom prst="straightConnector1">
                            <a:avLst/>
                          </a:prstGeom>
                          <a:ln w="12700" cap="flat" cmpd="sng">
                            <a:solidFill>
                              <a:srgbClr val="000000"/>
                            </a:solidFill>
                            <a:prstDash val="solid"/>
                            <a:headEnd type="none" w="med" len="med"/>
                            <a:tailEnd type="stealth" w="lg" len="lg"/>
                          </a:ln>
                        </wps:spPr>
                        <wps:bodyPr/>
                      </wps:wsp>
                      <wps:wsp>
                        <wps:cNvPr id="20" name="矩形 20"/>
                        <wps:cNvSpPr/>
                        <wps:spPr>
                          <a:xfrm>
                            <a:off x="12255" y="4775"/>
                            <a:ext cx="1575" cy="4134"/>
                          </a:xfrm>
                          <a:prstGeom prst="rect">
                            <a:avLst/>
                          </a:prstGeom>
                          <a:noFill/>
                          <a:ln w="12700" cap="flat" cmpd="sng">
                            <a:solidFill>
                              <a:srgbClr val="000000"/>
                            </a:solidFill>
                            <a:prstDash val="solid"/>
                            <a:round/>
                            <a:headEnd type="none" w="med" len="med"/>
                            <a:tailEnd type="none" w="med" len="med"/>
                          </a:ln>
                        </wps:spPr>
                        <wps:txbx>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善后工作组：</w:t>
                              </w:r>
                              <w:r>
                                <w:rPr>
                                  <w:rFonts w:hint="eastAsia" w:ascii="方正仿宋_GBK" w:hAnsi="Calibri" w:eastAsia="方正仿宋_GBK" w:cs="Times New Roman"/>
                                  <w:kern w:val="0"/>
                                  <w:sz w:val="21"/>
                                  <w:szCs w:val="20"/>
                                </w:rPr>
                                <w:t>事发地乡镇人民政府牵头，县民政局、县人力社保局、县生态环境局等参加。主要职责：开展伤亡人员及家属的安抚、补偿和保险理赔；做好事故死亡人员遗体火化；恢复正常的生产、生活秩序；事故现场污染物的清除以及生态破坏的恢复。</w:t>
                              </w:r>
                            </w:p>
                          </w:txbxContent>
                        </wps:txbx>
                        <wps:bodyPr lIns="0" tIns="0" rIns="0" bIns="0" upright="1"/>
                      </wps:wsp>
                      <wps:wsp>
                        <wps:cNvPr id="21" name="直接箭头连接符 21"/>
                        <wps:cNvCnPr/>
                        <wps:spPr>
                          <a:xfrm>
                            <a:off x="13042" y="4425"/>
                            <a:ext cx="1" cy="350"/>
                          </a:xfrm>
                          <a:prstGeom prst="straightConnector1">
                            <a:avLst/>
                          </a:prstGeom>
                          <a:ln w="12700" cap="flat" cmpd="sng">
                            <a:solidFill>
                              <a:srgbClr val="000000"/>
                            </a:solidFill>
                            <a:prstDash val="solid"/>
                            <a:headEnd type="none" w="med" len="med"/>
                            <a:tailEnd type="stealth" w="lg" len="lg"/>
                          </a:ln>
                        </wps:spPr>
                        <wps:bodyPr/>
                      </wps:wsp>
                      <wps:wsp>
                        <wps:cNvPr id="22" name="矩形 22"/>
                        <wps:cNvSpPr/>
                        <wps:spPr>
                          <a:xfrm>
                            <a:off x="14084" y="4774"/>
                            <a:ext cx="1575" cy="4135"/>
                          </a:xfrm>
                          <a:prstGeom prst="rect">
                            <a:avLst/>
                          </a:prstGeom>
                          <a:noFill/>
                          <a:ln w="12700" cap="flat" cmpd="sng">
                            <a:solidFill>
                              <a:srgbClr val="000000"/>
                            </a:solidFill>
                            <a:prstDash val="solid"/>
                            <a:round/>
                            <a:headEnd type="none" w="med" len="med"/>
                            <a:tailEnd type="none" w="med" len="med"/>
                          </a:ln>
                        </wps:spPr>
                        <wps:txbx>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调查处理组：</w:t>
                              </w:r>
                              <w:r>
                                <w:rPr>
                                  <w:rFonts w:hint="eastAsia" w:ascii="方正仿宋_GBK" w:hAnsi="Calibri" w:eastAsia="方正仿宋_GBK" w:cs="Times New Roman"/>
                                  <w:kern w:val="0"/>
                                  <w:sz w:val="21"/>
                                  <w:szCs w:val="20"/>
                                </w:rPr>
                                <w:t>县应急管理局牵头，县发展改革委、县公安局、县总工会等参加。主要职责：按规定组织开展较大和一般事故调查，认定事故责任，提出处理意见；配合市政府工作组开展重大事故调查。</w:t>
                              </w:r>
                            </w:p>
                          </w:txbxContent>
                        </wps:txbx>
                        <wps:bodyPr lIns="0" tIns="0" rIns="0" bIns="0" upright="1"/>
                      </wps:wsp>
                      <wps:wsp>
                        <wps:cNvPr id="23" name="矩形 23"/>
                        <wps:cNvSpPr/>
                        <wps:spPr>
                          <a:xfrm>
                            <a:off x="1200" y="4775"/>
                            <a:ext cx="1575" cy="4134"/>
                          </a:xfrm>
                          <a:prstGeom prst="rect">
                            <a:avLst/>
                          </a:prstGeom>
                          <a:noFill/>
                          <a:ln w="12700" cap="flat" cmpd="sng">
                            <a:solidFill>
                              <a:srgbClr val="000000"/>
                            </a:solidFill>
                            <a:prstDash val="solid"/>
                            <a:round/>
                            <a:headEnd type="none" w="med" len="med"/>
                            <a:tailEnd type="none" w="med" len="med"/>
                          </a:ln>
                        </wps:spPr>
                        <wps:txbx>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综合协调组：</w:t>
                              </w:r>
                              <w:r>
                                <w:rPr>
                                  <w:rFonts w:hint="eastAsia" w:ascii="方正仿宋_GBK" w:hAnsi="Calibri" w:eastAsia="方正仿宋_GBK" w:cs="Times New Roman"/>
                                  <w:bCs/>
                                  <w:kern w:val="0"/>
                                  <w:sz w:val="21"/>
                                  <w:szCs w:val="20"/>
                                  <w:lang w:eastAsia="zh-CN"/>
                                </w:rPr>
                                <w:t>县政府办公室</w:t>
                              </w:r>
                              <w:r>
                                <w:rPr>
                                  <w:rFonts w:hint="eastAsia" w:ascii="方正仿宋_GBK" w:hAnsi="Calibri" w:eastAsia="方正仿宋_GBK" w:cs="Times New Roman"/>
                                  <w:bCs/>
                                  <w:kern w:val="0"/>
                                  <w:sz w:val="21"/>
                                  <w:szCs w:val="20"/>
                                </w:rPr>
                                <w:t>牵头，</w:t>
                              </w:r>
                              <w:r>
                                <w:rPr>
                                  <w:rFonts w:hint="eastAsia" w:ascii="方正仿宋_GBK" w:hAnsi="Calibri" w:eastAsia="方正仿宋_GBK" w:cs="Times New Roman"/>
                                  <w:bCs/>
                                  <w:kern w:val="0"/>
                                  <w:sz w:val="21"/>
                                  <w:szCs w:val="20"/>
                                  <w:lang w:eastAsia="zh-CN"/>
                                </w:rPr>
                                <w:t>县发展改革委、</w:t>
                              </w:r>
                              <w:r>
                                <w:rPr>
                                  <w:rFonts w:hint="eastAsia" w:ascii="方正仿宋_GBK" w:hAnsi="Calibri" w:eastAsia="方正仿宋_GBK" w:cs="Times New Roman"/>
                                  <w:bCs/>
                                  <w:kern w:val="0"/>
                                  <w:sz w:val="21"/>
                                  <w:szCs w:val="20"/>
                                </w:rPr>
                                <w:t>县应急管理局</w:t>
                              </w:r>
                              <w:r>
                                <w:rPr>
                                  <w:rFonts w:hint="eastAsia" w:ascii="方正仿宋_GBK" w:hAnsi="Calibri" w:eastAsia="方正仿宋_GBK" w:cs="Times New Roman"/>
                                  <w:kern w:val="0"/>
                                  <w:sz w:val="21"/>
                                  <w:szCs w:val="20"/>
                                </w:rPr>
                                <w:t>、事发地乡镇人民政府、发生事故管道企业参加。主要职责：履行信息汇总和综合协调职能，发挥信息枢纽作用；传达上级有关指示；协调调配有关应急资源；协调各工作组全力开展应急处置工作。</w:t>
                              </w:r>
                            </w:p>
                          </w:txbxContent>
                        </wps:txbx>
                        <wps:bodyPr lIns="0" tIns="0" rIns="0" bIns="0" upright="1"/>
                      </wps:wsp>
                      <wps:wsp>
                        <wps:cNvPr id="24" name="直接箭头连接符 24"/>
                        <wps:cNvCnPr/>
                        <wps:spPr>
                          <a:xfrm flipH="1">
                            <a:off x="14872" y="4425"/>
                            <a:ext cx="1" cy="349"/>
                          </a:xfrm>
                          <a:prstGeom prst="straightConnector1">
                            <a:avLst/>
                          </a:prstGeom>
                          <a:ln w="12700" cap="flat" cmpd="sng">
                            <a:solidFill>
                              <a:srgbClr val="000000"/>
                            </a:solidFill>
                            <a:prstDash val="solid"/>
                            <a:headEnd type="none" w="med" len="med"/>
                            <a:tailEnd type="stealth" w="lg" len="lg"/>
                          </a:ln>
                        </wps:spPr>
                        <wps:bodyPr/>
                      </wps:wsp>
                    </wpg:wgp>
                  </a:graphicData>
                </a:graphic>
              </wp:inline>
            </w:drawing>
          </mc:Choice>
          <mc:Fallback>
            <w:pict>
              <v:group id="_x0000_s1026" o:spid="_x0000_s1026" o:spt="203" style="height:365.4pt;width:722.95pt;" coordorigin="1200,1601" coordsize="14459,7308" o:gfxdata="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SG98idgAAAAGAQAADwAAAAAAAAABACAAAAAiAAAA&#10;ZHJzL2Rvd25yZXYueG1sUEsBAhQAFAAAAAgAh07iQKKINFuXBQAAIjEAAA4AAAAAAAAAAQAgAAAA&#10;JwEAAGRycy9lMm9Eb2MueG1sUEsFBgAAAAAGAAYAWQEAADAJAAAAAA==&#10;">
                <o:lock v:ext="edit" rotation="t" aspectratio="f"/>
                <v:shape id="_x0000_s1026" o:spid="_x0000_s1026" o:spt="32" type="#_x0000_t32" style="position:absolute;left:1988;top:4425;flip:x;height:350;width:1;" filled="f" stroked="t" coordsize="21600,21600" o:gfxdata="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5sLLsAAADa&#10;AAAADwAAAAAAAAABACAAAAAiAAAAZHJzL2Rvd25yZXYueG1sUEsBAhQAFAAAAAgAh07iQDMvBZ47&#10;AAAAOQAAABAAAAAAAAAAAQAgAAAACgEAAGRycy9zaGFwZXhtbC54bWxQSwUGAAAAAAYABgBbAQAA&#10;tAMAAAAA&#10;">
                  <v:fill on="f" focussize="0,0"/>
                  <v:stroke weight="1pt" color="#000000" joinstyle="round" endarrow="classic" endarrowwidth="wide" endarrowlength="long"/>
                  <v:imagedata o:title=""/>
                  <o:lock v:ext="edit" aspectratio="f"/>
                </v:shape>
                <v:shape id="_x0000_s1026" o:spid="_x0000_s1026" o:spt="32" type="#_x0000_t32" style="position:absolute;left:1988;top:4420;height:6;width:12885;" filled="f" stroked="t" coordsize="21600,21600" o:gfxdata="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vmEr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shape>
                <v:shape id="_x0000_s1026" o:spid="_x0000_s1026" o:spt="32" type="#_x0000_t32" style="position:absolute;left:8371;top:4159;height:266;width:1;" filled="f" stroked="t" coordsize="21600,21600" o:gfxdata="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XhlugAAANo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shape>
                <v:rect id="_x0000_s1026" o:spid="_x0000_s1026" o:spt="1" style="position:absolute;left:1291;top:2339;height:1796;width:14160;" filled="f" stroked="t" coordsize="21600,21600" o:gfxdata="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o8jq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textbox inset="0mm,0mm,0mm,0mm" style="mso-fit-shape-to-text:t;">
                    <w:txbxContent>
                      <w:p>
                        <w:pPr>
                          <w:spacing w:before="32" w:line="240" w:lineRule="exact"/>
                          <w:ind w:left="1180" w:hanging="1180"/>
                          <w:rPr>
                            <w:rFonts w:hint="eastAsia" w:ascii="方正仿宋_GBK" w:hAnsi="Calibri" w:eastAsia="方正仿宋_GBK" w:cs="Times New Roman"/>
                            <w:kern w:val="0"/>
                            <w:sz w:val="24"/>
                            <w:szCs w:val="20"/>
                          </w:rPr>
                        </w:pPr>
                        <w:r>
                          <w:rPr>
                            <w:rFonts w:hint="eastAsia" w:ascii="方正黑体_GBK" w:hAnsi="黑体" w:eastAsia="方正黑体_GBK" w:cs="Times New Roman"/>
                            <w:kern w:val="0"/>
                            <w:sz w:val="24"/>
                            <w:szCs w:val="20"/>
                          </w:rPr>
                          <w:t>指 挥 长：</w:t>
                        </w:r>
                        <w:r>
                          <w:rPr>
                            <w:rFonts w:hint="eastAsia" w:ascii="方正仿宋_GBK" w:hAnsi="Calibri" w:eastAsia="方正仿宋_GBK" w:cs="Times New Roman"/>
                            <w:kern w:val="0"/>
                            <w:sz w:val="24"/>
                            <w:szCs w:val="20"/>
                          </w:rPr>
                          <w:t>县政府分管副县长，负责发布应急响应命令，全面组织指挥全县油气长输管道事故应急救援工作。</w:t>
                        </w:r>
                      </w:p>
                      <w:p>
                        <w:pPr>
                          <w:spacing w:before="32" w:line="240" w:lineRule="exact"/>
                          <w:ind w:left="1180" w:hanging="1180"/>
                          <w:rPr>
                            <w:rFonts w:hint="eastAsia" w:ascii="方正仿宋_GBK" w:hAnsi="Calibri" w:eastAsia="方正仿宋_GBK" w:cs="Times New Roman"/>
                            <w:kern w:val="0"/>
                            <w:sz w:val="24"/>
                            <w:szCs w:val="22"/>
                            <w:lang w:val="en-US" w:eastAsia="zh-CN"/>
                          </w:rPr>
                        </w:pPr>
                        <w:r>
                          <w:rPr>
                            <w:rFonts w:hint="eastAsia" w:ascii="方正黑体_GBK" w:hAnsi="黑体" w:eastAsia="方正黑体_GBK" w:cs="Times New Roman"/>
                            <w:kern w:val="0"/>
                            <w:sz w:val="24"/>
                            <w:szCs w:val="20"/>
                          </w:rPr>
                          <w:t>副指挥长：</w:t>
                        </w:r>
                        <w:r>
                          <w:rPr>
                            <w:rFonts w:hint="eastAsia" w:ascii="方正仿宋_GBK" w:hAnsi="Calibri" w:eastAsia="方正仿宋_GBK" w:cs="Times New Roman"/>
                            <w:kern w:val="0"/>
                            <w:sz w:val="24"/>
                            <w:szCs w:val="22"/>
                          </w:rPr>
                          <w:t>县政府</w:t>
                        </w:r>
                        <w:r>
                          <w:rPr>
                            <w:rFonts w:hint="eastAsia" w:ascii="方正仿宋_GBK" w:hAnsi="Calibri" w:eastAsia="方正仿宋_GBK" w:cs="Times New Roman"/>
                            <w:kern w:val="0"/>
                            <w:sz w:val="24"/>
                            <w:szCs w:val="22"/>
                            <w:lang w:eastAsia="zh-CN"/>
                          </w:rPr>
                          <w:t>办公室有关</w:t>
                        </w:r>
                        <w:r>
                          <w:rPr>
                            <w:rFonts w:hint="eastAsia" w:ascii="方正仿宋_GBK" w:hAnsi="Calibri" w:eastAsia="方正仿宋_GBK" w:cs="Times New Roman"/>
                            <w:kern w:val="0"/>
                            <w:sz w:val="24"/>
                            <w:szCs w:val="22"/>
                          </w:rPr>
                          <w:t>副主任</w:t>
                        </w:r>
                        <w:r>
                          <w:rPr>
                            <w:rFonts w:hint="eastAsia" w:ascii="方正仿宋_GBK" w:hAnsi="Calibri" w:eastAsia="方正仿宋_GBK" w:cs="Times New Roman"/>
                            <w:kern w:val="0"/>
                            <w:sz w:val="24"/>
                            <w:szCs w:val="22"/>
                            <w:lang w:eastAsia="zh-CN"/>
                          </w:rPr>
                          <w:t>、</w:t>
                        </w:r>
                        <w:r>
                          <w:rPr>
                            <w:rFonts w:hint="eastAsia" w:ascii="方正仿宋_GBK" w:hAnsi="Calibri" w:eastAsia="方正仿宋_GBK" w:cs="Times New Roman"/>
                            <w:kern w:val="0"/>
                            <w:sz w:val="24"/>
                            <w:szCs w:val="22"/>
                          </w:rPr>
                          <w:t>县应急管理局、县</w:t>
                        </w:r>
                        <w:r>
                          <w:rPr>
                            <w:rFonts w:hint="eastAsia" w:ascii="方正仿宋_GBK" w:hAnsi="Calibri" w:eastAsia="方正仿宋_GBK" w:cs="Times New Roman"/>
                            <w:kern w:val="0"/>
                            <w:sz w:val="24"/>
                            <w:szCs w:val="22"/>
                            <w:lang w:eastAsia="zh-CN"/>
                          </w:rPr>
                          <w:t>发展改革</w:t>
                        </w:r>
                        <w:r>
                          <w:rPr>
                            <w:rFonts w:hint="eastAsia" w:ascii="方正仿宋_GBK" w:hAnsi="Calibri" w:eastAsia="方正仿宋_GBK" w:cs="Times New Roman"/>
                            <w:kern w:val="0"/>
                            <w:sz w:val="24"/>
                            <w:szCs w:val="22"/>
                          </w:rPr>
                          <w:t>委、县公安局等部门和事故发生地乡镇人民政府主要负责人。</w:t>
                        </w:r>
                        <w:r>
                          <w:rPr>
                            <w:rFonts w:hint="eastAsia" w:ascii="方正仿宋_GBK" w:hAnsi="Calibri" w:eastAsia="方正仿宋_GBK" w:cs="Times New Roman"/>
                            <w:kern w:val="0"/>
                            <w:sz w:val="24"/>
                            <w:szCs w:val="22"/>
                            <w:lang w:val="en-US" w:eastAsia="zh-CN"/>
                          </w:rPr>
                          <w:t xml:space="preserve"> </w:t>
                        </w:r>
                      </w:p>
                      <w:p>
                        <w:pPr>
                          <w:spacing w:before="32" w:line="240" w:lineRule="exact"/>
                          <w:ind w:left="1180" w:hanging="1180"/>
                          <w:rPr>
                            <w:rFonts w:hint="eastAsia" w:ascii="方正仿宋_GBK" w:hAnsi="Calibri" w:eastAsia="方正仿宋_GBK" w:cs="Times New Roman"/>
                            <w:kern w:val="0"/>
                            <w:sz w:val="24"/>
                            <w:szCs w:val="20"/>
                          </w:rPr>
                        </w:pPr>
                        <w:r>
                          <w:rPr>
                            <w:rFonts w:hint="eastAsia" w:ascii="方正黑体_GBK" w:hAnsi="黑体" w:eastAsia="方正黑体_GBK" w:cs="Times New Roman"/>
                            <w:kern w:val="0"/>
                            <w:sz w:val="24"/>
                            <w:szCs w:val="20"/>
                          </w:rPr>
                          <w:t>主要职责：</w:t>
                        </w:r>
                        <w:r>
                          <w:rPr>
                            <w:rFonts w:hint="eastAsia" w:ascii="方正仿宋_GBK" w:hAnsi="Calibri" w:eastAsia="方正仿宋_GBK" w:cs="Times New Roman"/>
                            <w:kern w:val="0"/>
                            <w:sz w:val="24"/>
                            <w:szCs w:val="20"/>
                          </w:rPr>
                          <w:t>召开指挥部会议，传达上级有关指示精神，听取各工作组情况汇报，研究部署处置过程中的重大事宜；向市应急救援指挥部和县</w:t>
                        </w:r>
                        <w:r>
                          <w:rPr>
                            <w:rFonts w:hint="eastAsia" w:ascii="方正仿宋_GBK" w:hAnsi="Calibri" w:eastAsia="方正仿宋_GBK" w:cs="Times New Roman"/>
                            <w:kern w:val="0"/>
                            <w:sz w:val="24"/>
                            <w:szCs w:val="20"/>
                            <w:lang w:eastAsia="zh-CN"/>
                          </w:rPr>
                          <w:t>委、县</w:t>
                        </w:r>
                        <w:r>
                          <w:rPr>
                            <w:rFonts w:hint="eastAsia" w:ascii="方正仿宋_GBK" w:hAnsi="Calibri" w:eastAsia="方正仿宋_GBK" w:cs="Times New Roman"/>
                            <w:kern w:val="0"/>
                            <w:sz w:val="24"/>
                            <w:szCs w:val="20"/>
                          </w:rPr>
                          <w:t>政府汇报事故处置应对情况；组织调度有关队伍、专家、物资、装备；收集掌握涉及事故有关信息，综合分析事故预测预警信息，正确研判可能发生的事故以及紧急状态，评价其影响范围、程度，提出应对措施；按分级响应的规定，做好相关事故处置应急救援协调工作。</w:t>
                        </w:r>
                      </w:p>
                      <w:p>
                        <w:pPr>
                          <w:spacing w:line="240" w:lineRule="exact"/>
                          <w:ind w:left="2360" w:firstLine="1180"/>
                          <w:rPr>
                            <w:rFonts w:hint="eastAsia" w:ascii="方正仿宋_GBK" w:hAnsi="Calibri" w:eastAsia="方正仿宋_GBK" w:cs="Times New Roman"/>
                            <w:kern w:val="0"/>
                            <w:sz w:val="24"/>
                            <w:szCs w:val="20"/>
                          </w:rPr>
                        </w:pPr>
                      </w:p>
                    </w:txbxContent>
                  </v:textbox>
                </v:rect>
                <v:rect id="_x0000_s1026" o:spid="_x0000_s1026" o:spt="1" style="position:absolute;left:4503;top:1601;height:413;width:7724;" filled="f" stroked="t" coordsize="21600,21600" o:gfxdata="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ZNtLgAAADaAAAA&#10;DwAAAAAAAAABACAAAAAiAAAAZHJzL2Rvd25yZXYueG1sUEsBAhQAFAAAAAgAh07iQDMvBZ47AAAA&#10;OQAAABAAAAAAAAAAAQAgAAAABwEAAGRycy9zaGFwZXhtbC54bWxQSwUGAAAAAAYABgBbAQAAsQMA&#10;AAAA&#10;">
                  <v:fill on="f" focussize="0,0"/>
                  <v:stroke weight="3pt" color="#000000" linestyle="thinThin" joinstyle="round"/>
                  <v:imagedata o:title=""/>
                  <o:lock v:ext="edit" aspectratio="f"/>
                  <v:textbox inset="0mm,0mm,0mm,0mm">
                    <w:txbxContent>
                      <w:p>
                        <w:pPr>
                          <w:spacing w:line="320" w:lineRule="exact"/>
                          <w:jc w:val="center"/>
                          <w:rPr>
                            <w:rFonts w:hint="eastAsia" w:ascii="方正黑体_GBK" w:hAnsi="黑体" w:eastAsia="方正黑体_GBK" w:cs="Times New Roman"/>
                            <w:kern w:val="0"/>
                            <w:sz w:val="24"/>
                            <w:szCs w:val="20"/>
                          </w:rPr>
                        </w:pPr>
                        <w:r>
                          <w:rPr>
                            <w:rFonts w:hint="eastAsia" w:ascii="方正黑体_GBK" w:hAnsi="黑体" w:eastAsia="方正黑体_GBK" w:cs="Times New Roman"/>
                            <w:kern w:val="0"/>
                            <w:sz w:val="24"/>
                            <w:szCs w:val="20"/>
                          </w:rPr>
                          <w:t>重庆市石柱县油气长输管道事故应急救援指挥部</w:t>
                        </w:r>
                      </w:p>
                    </w:txbxContent>
                  </v:textbox>
                </v:rect>
                <v:shape id="_x0000_s1026" o:spid="_x0000_s1026" o:spt="32" type="#_x0000_t32" style="position:absolute;left:8365;top:2044;height:295;width:6;" filled="f" stroked="t" coordsize="21600,21600" o:gfxdata="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m7Be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rect id="_x0000_s1026" o:spid="_x0000_s1026" o:spt="1" style="position:absolute;left:3045;top:4774;height:4135;width:1575;" filled="f" stroked="t" coordsize="21600,21600" o:gfxdata="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BaUG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textbox inset="0mm,0mm,0mm,0mm">
                    <w:txbxContent>
                      <w:p>
                        <w:pPr>
                          <w:spacing w:line="240" w:lineRule="exact"/>
                          <w:rPr>
                            <w:rFonts w:hint="eastAsia" w:ascii="方正仿宋_GBK" w:hAnsi="Calibri" w:eastAsia="方正仿宋_GBK" w:cs="Times New Roman"/>
                            <w:kern w:val="0"/>
                            <w:sz w:val="20"/>
                            <w:szCs w:val="21"/>
                          </w:rPr>
                        </w:pPr>
                        <w:r>
                          <w:rPr>
                            <w:rFonts w:hint="eastAsia" w:ascii="方正仿宋_GBK" w:hAnsi="Calibri" w:eastAsia="方正仿宋_GBK" w:cs="Times New Roman"/>
                            <w:b/>
                            <w:kern w:val="0"/>
                            <w:sz w:val="21"/>
                            <w:szCs w:val="21"/>
                          </w:rPr>
                          <w:t>抢险救援组：</w:t>
                        </w:r>
                        <w:bookmarkStart w:id="136" w:name="_Hlk104712469"/>
                        <w:r>
                          <w:rPr>
                            <w:rFonts w:hint="eastAsia" w:ascii="方正仿宋_GBK" w:hAnsi="Calibri" w:eastAsia="方正仿宋_GBK" w:cs="Times New Roman"/>
                            <w:kern w:val="0"/>
                            <w:sz w:val="20"/>
                            <w:szCs w:val="21"/>
                          </w:rPr>
                          <w:t>县</w:t>
                        </w:r>
                        <w:bookmarkEnd w:id="136"/>
                        <w:r>
                          <w:rPr>
                            <w:rFonts w:hint="eastAsia" w:ascii="方正仿宋_GBK" w:hAnsi="Calibri" w:eastAsia="方正仿宋_GBK" w:cs="Times New Roman"/>
                            <w:kern w:val="0"/>
                            <w:sz w:val="20"/>
                            <w:szCs w:val="21"/>
                          </w:rPr>
                          <w:t>发展改革委牵头，</w:t>
                        </w:r>
                        <w:r>
                          <w:rPr>
                            <w:rFonts w:hint="eastAsia" w:ascii="方正仿宋_GBK" w:hAnsi="Calibri" w:eastAsia="方正仿宋_GBK" w:cs="Times New Roman"/>
                            <w:bCs/>
                            <w:kern w:val="0"/>
                            <w:sz w:val="21"/>
                            <w:szCs w:val="20"/>
                          </w:rPr>
                          <w:t>县应急管理局</w:t>
                        </w:r>
                        <w:r>
                          <w:rPr>
                            <w:rFonts w:hint="eastAsia" w:ascii="方正仿宋_GBK" w:hAnsi="Calibri" w:eastAsia="方正仿宋_GBK" w:cs="Times New Roman"/>
                            <w:kern w:val="0"/>
                            <w:sz w:val="20"/>
                            <w:szCs w:val="21"/>
                          </w:rPr>
                          <w:t>、</w:t>
                        </w:r>
                        <w:bookmarkStart w:id="137" w:name="_Hlk105672159"/>
                        <w:r>
                          <w:rPr>
                            <w:rFonts w:hint="eastAsia" w:ascii="方正仿宋_GBK" w:hAnsi="Calibri" w:eastAsia="方正仿宋_GBK" w:cs="Times New Roman"/>
                            <w:bCs/>
                            <w:kern w:val="0"/>
                            <w:sz w:val="21"/>
                            <w:szCs w:val="20"/>
                          </w:rPr>
                          <w:t>县</w:t>
                        </w:r>
                        <w:bookmarkEnd w:id="137"/>
                        <w:r>
                          <w:rPr>
                            <w:rFonts w:hint="eastAsia" w:ascii="方正仿宋_GBK" w:hAnsi="Calibri" w:eastAsia="方正仿宋_GBK" w:cs="Times New Roman"/>
                            <w:kern w:val="0"/>
                            <w:sz w:val="20"/>
                            <w:szCs w:val="21"/>
                          </w:rPr>
                          <w:t>公安局、</w:t>
                        </w:r>
                        <w:r>
                          <w:rPr>
                            <w:rFonts w:hint="eastAsia" w:ascii="方正仿宋_GBK" w:hAnsi="Calibri" w:eastAsia="方正仿宋_GBK" w:cs="Times New Roman"/>
                            <w:bCs/>
                            <w:kern w:val="0"/>
                            <w:sz w:val="21"/>
                            <w:szCs w:val="20"/>
                          </w:rPr>
                          <w:t>县消防救援大队</w:t>
                        </w:r>
                        <w:r>
                          <w:rPr>
                            <w:rFonts w:hint="eastAsia" w:ascii="方正仿宋_GBK" w:hAnsi="Calibri" w:eastAsia="方正仿宋_GBK" w:cs="Times New Roman"/>
                            <w:kern w:val="0"/>
                            <w:sz w:val="20"/>
                            <w:szCs w:val="21"/>
                          </w:rPr>
                          <w:t>、</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经济信息委、</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生态环境局、</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规划自然资源局、</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市场监管局、</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0"/>
                            <w:szCs w:val="21"/>
                          </w:rPr>
                          <w:t>气象局、事发地乡镇政府、发生事故管道企业参加。主要职责：负责组织专业救援队伍实施救援，消除次生灾害隐患，清理现场等。</w:t>
                        </w:r>
                      </w:p>
                    </w:txbxContent>
                  </v:textbox>
                </v:rect>
                <v:shape id="_x0000_s1026" o:spid="_x0000_s1026" o:spt="32" type="#_x0000_t32" style="position:absolute;left:3832;top:4420;height:354;width:1;" filled="f" stroked="t" coordsize="21600,21600" o:gfxdata="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eOdbsAAADb&#10;AAAADwAAAAAAAAABACAAAAAiAAAAZHJzL2Rvd25yZXYueG1sUEsBAhQAFAAAAAgAh07iQDMvBZ47&#10;AAAAOQAAABAAAAAAAAAAAQAgAAAACgEAAGRycy9zaGFwZXhtbC54bWxQSwUGAAAAAAYABgBbAQAA&#10;tAMAAAAA&#10;">
                  <v:fill on="f" focussize="0,0"/>
                  <v:stroke weight="1pt" color="#000000" joinstyle="round" endarrow="classic" endarrowwidth="wide" endarrowlength="long"/>
                  <v:imagedata o:title=""/>
                  <o:lock v:ext="edit" aspectratio="f"/>
                </v:shape>
                <v:rect id="_x0000_s1026" o:spid="_x0000_s1026" o:spt="1" style="position:absolute;left:4890;top:4774;height:4135;width:1575;" filled="f" stroked="t" coordsize="21600,21600" o:gfxdata="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ue6r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textbox inset="0mm,0mm,0mm,0mm">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医学救援组：</w:t>
                        </w:r>
                        <w:bookmarkStart w:id="138" w:name="_Hlk104712492"/>
                        <w:r>
                          <w:rPr>
                            <w:rFonts w:hint="eastAsia" w:ascii="方正仿宋_GBK" w:hAnsi="Calibri" w:eastAsia="方正仿宋_GBK" w:cs="Times New Roman"/>
                            <w:bCs/>
                            <w:kern w:val="0"/>
                            <w:sz w:val="21"/>
                            <w:szCs w:val="20"/>
                          </w:rPr>
                          <w:t>县</w:t>
                        </w:r>
                        <w:bookmarkEnd w:id="138"/>
                        <w:r>
                          <w:rPr>
                            <w:rFonts w:hint="eastAsia" w:ascii="方正仿宋_GBK" w:hAnsi="Calibri" w:eastAsia="方正仿宋_GBK" w:cs="Times New Roman"/>
                            <w:kern w:val="0"/>
                            <w:sz w:val="21"/>
                            <w:szCs w:val="20"/>
                          </w:rPr>
                          <w:t>卫生健康委牵头，有关医疗卫生机构、事发地乡镇人民政府、发生事故的管道企业参加。主要职责：组织开展伤病员医疗救治、心理援助；统计核实事故伤亡情况等。</w:t>
                        </w:r>
                      </w:p>
                    </w:txbxContent>
                  </v:textbox>
                </v:rect>
                <v:shape id="_x0000_s1026" o:spid="_x0000_s1026" o:spt="32" type="#_x0000_t32" style="position:absolute;left:5677;top:4425;height:349;width:1;" filled="f" stroked="t" coordsize="21600,21600" o:gfxdata="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zm1mbgAAADbAAAA&#10;DwAAAAAAAAABACAAAAAiAAAAZHJzL2Rvd25yZXYueG1sUEsBAhQAFAAAAAgAh07iQDMvBZ47AAAA&#10;OQAAABAAAAAAAAAAAQAgAAAABwEAAGRycy9zaGFwZXhtbC54bWxQSwUGAAAAAAYABgBbAQAAsQMA&#10;AAAA&#10;">
                  <v:fill on="f" focussize="0,0"/>
                  <v:stroke weight="1pt" color="#000000" joinstyle="round" endarrow="classic" endarrowwidth="wide" endarrowlength="long"/>
                  <v:imagedata o:title=""/>
                  <o:lock v:ext="edit" aspectratio="f"/>
                </v:shape>
                <v:rect id="_x0000_s1026" o:spid="_x0000_s1026" o:spt="1" style="position:absolute;left:6735;top:4774;height:4135;width:1575;" filled="f" stroked="t" coordsize="21600,21600" o:gfxdata="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k+owW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textbox inset="0mm,0mm,0mm,0mm">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秩序维护组：</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1"/>
                            <w:szCs w:val="20"/>
                          </w:rPr>
                          <w:t>公安局牵头，事发地乡镇人民政府参加。主要职责：封锁、警戒、控制、保护事故现场及周边区域，维护现场治安；疏散转移现场和周边受威胁区域人员；开展交通管制，在现场外围开辟专用通道供应急救援车辆和人员通行。</w:t>
                        </w:r>
                      </w:p>
                    </w:txbxContent>
                  </v:textbox>
                </v:rect>
                <v:shape id="_x0000_s1026" o:spid="_x0000_s1026" o:spt="32" type="#_x0000_t32" style="position:absolute;left:7522;top:4425;height:349;width:1;" filled="f" stroked="t" coordsize="21600,21600" o:gfxdata="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iHa5AAAA2wAA&#10;AA8AAAAAAAAAAQAgAAAAIgAAAGRycy9kb3ducmV2LnhtbFBLAQIUABQAAAAIAIdO4kAzLwWeOwAA&#10;ADkAAAAQAAAAAAAAAAEAIAAAAAgBAABkcnMvc2hhcGV4bWwueG1sUEsFBgAAAAAGAAYAWwEAALID&#10;AAAAAA==&#10;">
                  <v:fill on="f" focussize="0,0"/>
                  <v:stroke weight="1pt" color="#000000" joinstyle="round" endarrow="classic" endarrowwidth="wide" endarrowlength="long"/>
                  <v:imagedata o:title=""/>
                  <o:lock v:ext="edit" aspectratio="f"/>
                </v:shape>
                <v:rect id="_x0000_s1026" o:spid="_x0000_s1026" o:spt="1" style="position:absolute;left:8565;top:4774;height:4135;width:1575;" filled="f" stroked="t" coordsize="21600,21600" o:gfxdata="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CY6b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textbox inset="0mm,0mm,0mm,0mm">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舆论引导组：</w:t>
                        </w:r>
                        <w:r>
                          <w:rPr>
                            <w:rFonts w:hint="eastAsia" w:ascii="方正仿宋_GBK" w:hAnsi="Calibri" w:eastAsia="方正仿宋_GBK" w:cs="Times New Roman"/>
                            <w:kern w:val="0"/>
                            <w:sz w:val="21"/>
                            <w:szCs w:val="20"/>
                            <w:highlight w:val="none"/>
                            <w:lang w:eastAsia="zh-CN"/>
                          </w:rPr>
                          <w:t>县政府新闻办</w:t>
                        </w:r>
                        <w:r>
                          <w:rPr>
                            <w:rFonts w:hint="eastAsia" w:ascii="方正仿宋_GBK" w:hAnsi="Calibri" w:eastAsia="方正仿宋_GBK" w:cs="Times New Roman"/>
                            <w:kern w:val="0"/>
                            <w:sz w:val="21"/>
                            <w:szCs w:val="20"/>
                            <w:highlight w:val="none"/>
                          </w:rPr>
                          <w:t>牵头，</w:t>
                        </w:r>
                        <w:r>
                          <w:rPr>
                            <w:rFonts w:hint="eastAsia" w:ascii="方正仿宋_GBK" w:hAnsi="Calibri" w:eastAsia="方正仿宋_GBK" w:cs="Times New Roman"/>
                            <w:bCs/>
                            <w:kern w:val="0"/>
                            <w:sz w:val="21"/>
                            <w:szCs w:val="20"/>
                            <w:highlight w:val="none"/>
                          </w:rPr>
                          <w:t>县</w:t>
                        </w:r>
                        <w:r>
                          <w:rPr>
                            <w:rFonts w:hint="eastAsia" w:ascii="方正仿宋_GBK" w:hAnsi="Calibri" w:eastAsia="方正仿宋_GBK" w:cs="Times New Roman"/>
                            <w:kern w:val="0"/>
                            <w:sz w:val="21"/>
                            <w:szCs w:val="20"/>
                            <w:highlight w:val="none"/>
                          </w:rPr>
                          <w:t>发展改</w:t>
                        </w:r>
                        <w:r>
                          <w:rPr>
                            <w:rFonts w:hint="eastAsia" w:ascii="方正仿宋_GBK" w:hAnsi="Calibri" w:eastAsia="方正仿宋_GBK" w:cs="Times New Roman"/>
                            <w:kern w:val="0"/>
                            <w:sz w:val="21"/>
                            <w:szCs w:val="20"/>
                          </w:rPr>
                          <w:t>革委、</w:t>
                        </w:r>
                        <w:r>
                          <w:rPr>
                            <w:rFonts w:hint="eastAsia" w:ascii="方正仿宋_GBK" w:hAnsi="Calibri" w:eastAsia="方正仿宋_GBK" w:cs="Times New Roman"/>
                            <w:bCs/>
                            <w:kern w:val="0"/>
                            <w:sz w:val="21"/>
                            <w:szCs w:val="20"/>
                          </w:rPr>
                          <w:t>县应急管理局</w:t>
                        </w:r>
                        <w:r>
                          <w:rPr>
                            <w:rFonts w:hint="eastAsia" w:ascii="方正仿宋_GBK" w:hAnsi="Calibri" w:eastAsia="方正仿宋_GBK" w:cs="Times New Roman"/>
                            <w:kern w:val="0"/>
                            <w:sz w:val="21"/>
                            <w:szCs w:val="20"/>
                          </w:rPr>
                          <w:t>、</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1"/>
                            <w:szCs w:val="20"/>
                          </w:rPr>
                          <w:t>生态环境局、</w:t>
                        </w:r>
                        <w:r>
                          <w:rPr>
                            <w:rFonts w:hint="eastAsia" w:ascii="方正仿宋_GBK" w:hAnsi="Calibri" w:eastAsia="方正仿宋_GBK" w:cs="Times New Roman"/>
                            <w:bCs/>
                            <w:kern w:val="0"/>
                            <w:sz w:val="21"/>
                            <w:szCs w:val="20"/>
                          </w:rPr>
                          <w:t>县</w:t>
                        </w:r>
                        <w:r>
                          <w:rPr>
                            <w:rFonts w:hint="eastAsia" w:ascii="方正仿宋_GBK" w:hAnsi="Calibri" w:eastAsia="方正仿宋_GBK" w:cs="Times New Roman"/>
                            <w:kern w:val="0"/>
                            <w:sz w:val="21"/>
                            <w:szCs w:val="20"/>
                          </w:rPr>
                          <w:t>公安局、</w:t>
                        </w:r>
                        <w:r>
                          <w:rPr>
                            <w:rFonts w:hint="eastAsia" w:ascii="方正仿宋_GBK" w:hAnsi="Calibri" w:eastAsia="方正仿宋_GBK" w:cs="Times New Roman"/>
                            <w:bCs/>
                            <w:kern w:val="0"/>
                            <w:sz w:val="21"/>
                            <w:szCs w:val="20"/>
                          </w:rPr>
                          <w:t>县委网信办</w:t>
                        </w:r>
                        <w:r>
                          <w:rPr>
                            <w:rFonts w:hint="eastAsia" w:ascii="方正仿宋_GBK" w:hAnsi="Calibri" w:eastAsia="方正仿宋_GBK" w:cs="Times New Roman"/>
                            <w:kern w:val="0"/>
                            <w:sz w:val="21"/>
                            <w:szCs w:val="20"/>
                          </w:rPr>
                          <w:t>等参加。主要职责：及时、准确、客观发布权威信息；汇总收集相关舆情；组织开展宣传报道；做好现场媒体记者的接待；做好舆论引导工作。</w:t>
                        </w:r>
                      </w:p>
                    </w:txbxContent>
                  </v:textbox>
                </v:rect>
                <v:shape id="_x0000_s1026" o:spid="_x0000_s1026" o:spt="32" type="#_x0000_t32" style="position:absolute;left:9352;top:4425;height:349;width:1;" filled="f" stroked="t" coordsize="21600,21600" o:gfxdata="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Cs5q5AAAA2wAA&#10;AA8AAAAAAAAAAQAgAAAAIgAAAGRycy9kb3ducmV2LnhtbFBLAQIUABQAAAAIAIdO4kAzLwWeOwAA&#10;ADkAAAAQAAAAAAAAAAEAIAAAAAgBAABkcnMvc2hhcGV4bWwueG1sUEsFBgAAAAAGAAYAWwEAALID&#10;AAAAAA==&#10;">
                  <v:fill on="f" focussize="0,0"/>
                  <v:stroke weight="1pt" color="#000000" joinstyle="round" endarrow="classic" endarrowwidth="wide" endarrowlength="long"/>
                  <v:imagedata o:title=""/>
                  <o:lock v:ext="edit" aspectratio="f"/>
                </v:shape>
                <v:rect id="_x0000_s1026" o:spid="_x0000_s1026" o:spt="1" style="position:absolute;left:10410;top:4775;height:4134;width:1575;" filled="f" stroked="t" coordsize="21600,21600" o:gfxdata="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c6kA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textbox inset="0mm,0mm,0mm,0mm">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应急保障组：</w:t>
                        </w:r>
                        <w:r>
                          <w:rPr>
                            <w:rFonts w:hint="eastAsia" w:ascii="方正仿宋_GBK" w:hAnsi="Calibri" w:eastAsia="方正仿宋_GBK" w:cs="Times New Roman"/>
                            <w:kern w:val="0"/>
                            <w:sz w:val="21"/>
                            <w:szCs w:val="20"/>
                          </w:rPr>
                          <w:t>事发地乡镇人民政府，县财政局、县发展改革委、县民政局、县交通局、县商务委等参加。主要职责：提供应急处置后勤服务；提供必要办公用品和交通、通信等工具；调集抢险救援所需装备、物资等；保障应急通信。</w:t>
                        </w:r>
                      </w:p>
                    </w:txbxContent>
                  </v:textbox>
                </v:rect>
                <v:shape id="_x0000_s1026" o:spid="_x0000_s1026" o:spt="32" type="#_x0000_t32" style="position:absolute;left:11197;top:4425;height:350;width:1;" filled="f" stroked="t" coordsize="21600,21600" o:gfxdata="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RgnO5AAAA2wAA&#10;AA8AAAAAAAAAAQAgAAAAIgAAAGRycy9kb3ducmV2LnhtbFBLAQIUABQAAAAIAIdO4kAzLwWeOwAA&#10;ADkAAAAQAAAAAAAAAAEAIAAAAAgBAABkcnMvc2hhcGV4bWwueG1sUEsFBgAAAAAGAAYAWwEAALID&#10;AAAAAA==&#10;">
                  <v:fill on="f" focussize="0,0"/>
                  <v:stroke weight="1pt" color="#000000" joinstyle="round" endarrow="classic" endarrowwidth="wide" endarrowlength="long"/>
                  <v:imagedata o:title=""/>
                  <o:lock v:ext="edit" aspectratio="f"/>
                </v:shape>
                <v:rect id="_x0000_s1026" o:spid="_x0000_s1026" o:spt="1" style="position:absolute;left:12255;top:4775;height:4134;width:1575;" filled="f" stroked="t" coordsize="21600,21600" o:gfxdata="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pb7u5AAAA2w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textbox inset="0mm,0mm,0mm,0mm">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善后工作组：</w:t>
                        </w:r>
                        <w:r>
                          <w:rPr>
                            <w:rFonts w:hint="eastAsia" w:ascii="方正仿宋_GBK" w:hAnsi="Calibri" w:eastAsia="方正仿宋_GBK" w:cs="Times New Roman"/>
                            <w:kern w:val="0"/>
                            <w:sz w:val="21"/>
                            <w:szCs w:val="20"/>
                          </w:rPr>
                          <w:t>事发地乡镇人民政府牵头，县民政局、县人力社保局、县生态环境局等参加。主要职责：开展伤亡人员及家属的安抚、补偿和保险理赔；做好事故死亡人员遗体火化；恢复正常的生产、生活秩序；事故现场污染物的清除以及生态破坏的恢复。</w:t>
                        </w:r>
                      </w:p>
                    </w:txbxContent>
                  </v:textbox>
                </v:rect>
                <v:shape id="_x0000_s1026" o:spid="_x0000_s1026" o:spt="32" type="#_x0000_t32" style="position:absolute;left:13042;top:4425;height:350;width:1;" filled="f" stroked="t" coordsize="21600,21600" o:gfxdata="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y0TIugAAANsA&#10;AAAPAAAAAAAAAAEAIAAAACIAAABkcnMvZG93bnJldi54bWxQSwECFAAUAAAACACHTuJAMy8FnjsA&#10;AAA5AAAAEAAAAAAAAAABACAAAAAJAQAAZHJzL3NoYXBleG1sLnhtbFBLBQYAAAAABgAGAFsBAACz&#10;AwAAAAA=&#10;">
                  <v:fill on="f" focussize="0,0"/>
                  <v:stroke weight="1pt" color="#000000" joinstyle="round" endarrow="classic" endarrowwidth="wide" endarrowlength="long"/>
                  <v:imagedata o:title=""/>
                  <o:lock v:ext="edit" aspectratio="f"/>
                </v:shape>
                <v:rect id="_x0000_s1026" o:spid="_x0000_s1026" o:spt="1" style="position:absolute;left:14084;top:4774;height:4135;width:1575;" filled="f" stroked="t" coordsize="21600,21600" o:gfxdata="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91RX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textbox inset="0mm,0mm,0mm,0mm">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调查处理组：</w:t>
                        </w:r>
                        <w:r>
                          <w:rPr>
                            <w:rFonts w:hint="eastAsia" w:ascii="方正仿宋_GBK" w:hAnsi="Calibri" w:eastAsia="方正仿宋_GBK" w:cs="Times New Roman"/>
                            <w:kern w:val="0"/>
                            <w:sz w:val="21"/>
                            <w:szCs w:val="20"/>
                          </w:rPr>
                          <w:t>县应急管理局牵头，县发展改革委、县公安局、县总工会等参加。主要职责：按规定组织开展较大和一般事故调查，认定事故责任，提出处理意见；配合市政府工作组开展重大事故调查。</w:t>
                        </w:r>
                      </w:p>
                    </w:txbxContent>
                  </v:textbox>
                </v:rect>
                <v:rect id="_x0000_s1026" o:spid="_x0000_s1026" o:spt="1" style="position:absolute;left:1200;top:4775;height:4134;width:1575;" filled="f" stroked="t" coordsize="21600,21600" o:gfxdata="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u/HM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textbox inset="0mm,0mm,0mm,0mm">
                    <w:txbxContent>
                      <w:p>
                        <w:pPr>
                          <w:spacing w:line="240" w:lineRule="exact"/>
                          <w:rPr>
                            <w:rFonts w:hint="eastAsia" w:ascii="方正仿宋_GBK" w:hAnsi="Calibri" w:eastAsia="方正仿宋_GBK" w:cs="Times New Roman"/>
                            <w:kern w:val="0"/>
                            <w:sz w:val="21"/>
                            <w:szCs w:val="20"/>
                          </w:rPr>
                        </w:pPr>
                        <w:r>
                          <w:rPr>
                            <w:rFonts w:hint="eastAsia" w:ascii="方正仿宋_GBK" w:hAnsi="Calibri" w:eastAsia="方正仿宋_GBK" w:cs="Times New Roman"/>
                            <w:b/>
                            <w:kern w:val="0"/>
                            <w:sz w:val="21"/>
                            <w:szCs w:val="20"/>
                          </w:rPr>
                          <w:t>综合协调组：</w:t>
                        </w:r>
                        <w:r>
                          <w:rPr>
                            <w:rFonts w:hint="eastAsia" w:ascii="方正仿宋_GBK" w:hAnsi="Calibri" w:eastAsia="方正仿宋_GBK" w:cs="Times New Roman"/>
                            <w:bCs/>
                            <w:kern w:val="0"/>
                            <w:sz w:val="21"/>
                            <w:szCs w:val="20"/>
                            <w:lang w:eastAsia="zh-CN"/>
                          </w:rPr>
                          <w:t>县政府办公室</w:t>
                        </w:r>
                        <w:r>
                          <w:rPr>
                            <w:rFonts w:hint="eastAsia" w:ascii="方正仿宋_GBK" w:hAnsi="Calibri" w:eastAsia="方正仿宋_GBK" w:cs="Times New Roman"/>
                            <w:bCs/>
                            <w:kern w:val="0"/>
                            <w:sz w:val="21"/>
                            <w:szCs w:val="20"/>
                          </w:rPr>
                          <w:t>牵头，</w:t>
                        </w:r>
                        <w:r>
                          <w:rPr>
                            <w:rFonts w:hint="eastAsia" w:ascii="方正仿宋_GBK" w:hAnsi="Calibri" w:eastAsia="方正仿宋_GBK" w:cs="Times New Roman"/>
                            <w:bCs/>
                            <w:kern w:val="0"/>
                            <w:sz w:val="21"/>
                            <w:szCs w:val="20"/>
                            <w:lang w:eastAsia="zh-CN"/>
                          </w:rPr>
                          <w:t>县发展改革委、</w:t>
                        </w:r>
                        <w:r>
                          <w:rPr>
                            <w:rFonts w:hint="eastAsia" w:ascii="方正仿宋_GBK" w:hAnsi="Calibri" w:eastAsia="方正仿宋_GBK" w:cs="Times New Roman"/>
                            <w:bCs/>
                            <w:kern w:val="0"/>
                            <w:sz w:val="21"/>
                            <w:szCs w:val="20"/>
                          </w:rPr>
                          <w:t>县应急管理局</w:t>
                        </w:r>
                        <w:r>
                          <w:rPr>
                            <w:rFonts w:hint="eastAsia" w:ascii="方正仿宋_GBK" w:hAnsi="Calibri" w:eastAsia="方正仿宋_GBK" w:cs="Times New Roman"/>
                            <w:kern w:val="0"/>
                            <w:sz w:val="21"/>
                            <w:szCs w:val="20"/>
                          </w:rPr>
                          <w:t>、事发地乡镇人民政府、发生事故管道企业参加。主要职责：履行信息汇总和综合协调职能，发挥信息枢纽作用；传达上级有关指示；协调调配有关应急资源；协调各工作组全力开展应急处置工作。</w:t>
                        </w:r>
                      </w:p>
                    </w:txbxContent>
                  </v:textbox>
                </v:rect>
                <v:shape id="_x0000_s1026" o:spid="_x0000_s1026" o:spt="32" type="#_x0000_t32" style="position:absolute;left:14872;top:4425;flip:x;height:349;width:1;" filled="f" stroked="t" coordsize="21600,21600" o:gfxdata="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Sq+8AAAA&#10;2wAAAA8AAAAAAAAAAQAgAAAAIgAAAGRycy9kb3ducmV2LnhtbFBLAQIUABQAAAAIAIdO4kAzLwWe&#10;OwAAADkAAAAQAAAAAAAAAAEAIAAAAAsBAABkcnMvc2hhcGV4bWwueG1sUEsFBgAAAAAGAAYAWwEA&#10;ALUDAAAAAA==&#10;">
                  <v:fill on="f" focussize="0,0"/>
                  <v:stroke weight="1pt" color="#000000" joinstyle="round" endarrow="classic" endarrowwidth="wide" endarrowlength="long"/>
                  <v:imagedata o:title=""/>
                  <o:lock v:ext="edit" aspectratio="f"/>
                </v:shape>
                <w10:wrap type="none"/>
                <w10:anchorlock/>
              </v:group>
            </w:pict>
          </mc:Fallback>
        </mc:AlternateContent>
      </w:r>
    </w:p>
    <w:p>
      <w:pPr>
        <w:rPr>
          <w:rFonts w:hint="eastAsia" w:ascii="方正仿宋_GBK" w:hAnsi="Calibri" w:eastAsia="方正仿宋_GBK" w:cs="Times New Roman"/>
          <w:kern w:val="0"/>
          <w:sz w:val="24"/>
          <w:szCs w:val="20"/>
        </w:rPr>
      </w:pPr>
    </w:p>
    <w:p>
      <w:pPr>
        <w:spacing w:line="200" w:lineRule="exact"/>
        <w:rPr>
          <w:rFonts w:hint="eastAsia" w:ascii="Times New Roman" w:hAnsi="Times New Roman" w:eastAsia="宋体" w:cs="Times New Roman"/>
          <w:kern w:val="0"/>
          <w:sz w:val="20"/>
          <w:szCs w:val="20"/>
          <w:lang w:eastAsia="zh-CN"/>
        </w:rPr>
      </w:pPr>
    </w:p>
    <w:p>
      <w:pPr>
        <w:spacing w:line="200" w:lineRule="exact"/>
        <w:rPr>
          <w:rFonts w:hint="eastAsia" w:ascii="Times New Roman" w:hAnsi="Times New Roman" w:eastAsia="宋体" w:cs="Times New Roman"/>
          <w:kern w:val="0"/>
          <w:sz w:val="20"/>
          <w:szCs w:val="20"/>
          <w:lang w:eastAsia="zh-CN"/>
        </w:rPr>
      </w:pPr>
    </w:p>
    <w:p>
      <w:pPr>
        <w:spacing w:line="200" w:lineRule="exact"/>
        <w:rPr>
          <w:rFonts w:hint="eastAsia" w:ascii="Times New Roman" w:hAnsi="Times New Roman" w:eastAsia="宋体" w:cs="Times New Roman"/>
          <w:kern w:val="0"/>
          <w:sz w:val="20"/>
          <w:szCs w:val="20"/>
          <w:lang w:eastAsia="zh-CN"/>
        </w:rPr>
      </w:pPr>
    </w:p>
    <w:p>
      <w:pPr>
        <w:spacing w:line="200" w:lineRule="exact"/>
        <w:rPr>
          <w:rFonts w:hint="eastAsia" w:ascii="Times New Roman" w:hAnsi="Times New Roman" w:eastAsia="宋体" w:cs="Times New Roman"/>
          <w:kern w:val="0"/>
          <w:sz w:val="20"/>
          <w:szCs w:val="20"/>
          <w:lang w:eastAsia="zh-CN"/>
        </w:rPr>
      </w:pPr>
    </w:p>
    <w:p>
      <w:pPr>
        <w:spacing w:line="200" w:lineRule="exact"/>
        <w:rPr>
          <w:rFonts w:hint="eastAsia" w:eastAsia="宋体"/>
          <w:lang w:eastAsia="zh-CN"/>
        </w:rPr>
        <w:sectPr>
          <w:footerReference r:id="rId10" w:type="default"/>
          <w:pgSz w:w="16838" w:h="11906" w:orient="landscape"/>
          <w:pgMar w:top="1304" w:right="1077" w:bottom="1077" w:left="1134" w:header="851" w:footer="851" w:gutter="0"/>
          <w:pgNumType w:fmt="numberInDash"/>
          <w:cols w:space="720" w:num="1"/>
          <w:docGrid w:linePitch="579" w:charSpace="-849"/>
        </w:sectPr>
      </w:pPr>
    </w:p>
    <w:p>
      <w:pPr>
        <w:pStyle w:val="3"/>
        <w:keepNext w:val="0"/>
        <w:pageBreakBefore/>
        <w:widowControl/>
        <w:spacing w:before="120" w:afterLines="50" w:line="360" w:lineRule="auto"/>
        <w:jc w:val="left"/>
        <w:rPr>
          <w:rFonts w:ascii="黑体" w:hAnsi="宋体" w:eastAsia="黑体" w:cs="Times New Roman"/>
          <w:b w:val="0"/>
          <w:snapToGrid w:val="0"/>
          <w:szCs w:val="32"/>
        </w:rPr>
      </w:pPr>
      <w:bookmarkStart w:id="109" w:name="_Toc23919"/>
      <w:bookmarkStart w:id="110" w:name="_Toc12353"/>
      <w:r>
        <w:rPr>
          <w:rFonts w:hint="eastAsia" w:ascii="黑体" w:hAnsi="宋体" w:eastAsia="黑体" w:cs="Times New Roman"/>
          <w:b w:val="0"/>
          <w:snapToGrid w:val="0"/>
          <w:szCs w:val="32"/>
          <w:lang w:val="en-US" w:eastAsia="zh-CN"/>
        </w:rPr>
        <w:t>9.9</w:t>
      </w:r>
      <w:r>
        <w:rPr>
          <w:rFonts w:ascii="黑体" w:hAnsi="宋体" w:eastAsia="黑体" w:cs="Times New Roman"/>
          <w:b w:val="0"/>
          <w:snapToGrid w:val="0"/>
          <w:szCs w:val="32"/>
        </w:rPr>
        <w:t xml:space="preserve"> </w:t>
      </w:r>
      <w:r>
        <w:rPr>
          <w:rFonts w:hint="eastAsia" w:ascii="黑体" w:hAnsi="宋体" w:eastAsia="黑体" w:cs="Times New Roman"/>
          <w:b w:val="0"/>
          <w:snapToGrid w:val="0"/>
          <w:szCs w:val="32"/>
        </w:rPr>
        <w:t>现场处置方案</w:t>
      </w:r>
      <w:bookmarkEnd w:id="109"/>
      <w:bookmarkEnd w:id="110"/>
    </w:p>
    <w:p>
      <w:pPr>
        <w:pStyle w:val="4"/>
        <w:adjustRightInd w:val="0"/>
        <w:snapToGrid w:val="0"/>
        <w:spacing w:before="0" w:after="0" w:line="560" w:lineRule="exact"/>
        <w:jc w:val="center"/>
        <w:rPr>
          <w:rFonts w:hint="eastAsia" w:ascii="方正楷体_GBK" w:hAnsi="方正楷体_GBK" w:eastAsia="方正楷体_GBK" w:cs="方正楷体_GBK"/>
          <w:b/>
          <w:bCs/>
          <w:kern w:val="0"/>
        </w:rPr>
      </w:pPr>
      <w:bookmarkStart w:id="111" w:name="_Toc4773"/>
      <w:bookmarkStart w:id="112" w:name="_Toc31721"/>
      <w:r>
        <w:rPr>
          <w:rFonts w:hint="eastAsia" w:ascii="方正楷体_GBK" w:hAnsi="方正楷体_GBK" w:eastAsia="方正楷体_GBK" w:cs="方正楷体_GBK"/>
          <w:b/>
          <w:bCs/>
          <w:kern w:val="0"/>
        </w:rPr>
        <w:t>附件</w:t>
      </w:r>
      <w:r>
        <w:rPr>
          <w:rFonts w:hint="eastAsia" w:ascii="方正楷体_GBK" w:hAnsi="方正楷体_GBK" w:eastAsia="方正楷体_GBK" w:cs="方正楷体_GBK"/>
          <w:b/>
          <w:bCs/>
          <w:kern w:val="0"/>
          <w:lang w:val="en-US" w:eastAsia="zh-CN"/>
        </w:rPr>
        <w:t>9</w:t>
      </w:r>
      <w:r>
        <w:rPr>
          <w:rFonts w:hint="eastAsia" w:ascii="方正楷体_GBK" w:hAnsi="方正楷体_GBK" w:eastAsia="方正楷体_GBK" w:cs="方正楷体_GBK"/>
          <w:b/>
          <w:bCs/>
          <w:kern w:val="0"/>
        </w:rPr>
        <w:t>.</w:t>
      </w:r>
      <w:r>
        <w:rPr>
          <w:rFonts w:hint="eastAsia" w:ascii="方正楷体_GBK" w:hAnsi="方正楷体_GBK" w:eastAsia="方正楷体_GBK" w:cs="方正楷体_GBK"/>
          <w:b/>
          <w:bCs/>
          <w:kern w:val="0"/>
          <w:lang w:val="en-US" w:eastAsia="zh-CN"/>
        </w:rPr>
        <w:t>9.1</w:t>
      </w:r>
      <w:r>
        <w:rPr>
          <w:rFonts w:hint="eastAsia" w:ascii="方正楷体_GBK" w:hAnsi="方正楷体_GBK" w:eastAsia="方正楷体_GBK" w:cs="方正楷体_GBK"/>
          <w:b/>
          <w:bCs/>
          <w:kern w:val="0"/>
        </w:rPr>
        <w:t>管道事故现场处置方案</w:t>
      </w:r>
      <w:bookmarkEnd w:id="111"/>
      <w:bookmarkEnd w:id="112"/>
    </w:p>
    <w:p>
      <w:pPr>
        <w:pStyle w:val="4"/>
        <w:adjustRightInd w:val="0"/>
        <w:snapToGrid w:val="0"/>
        <w:spacing w:before="0" w:after="0" w:line="560" w:lineRule="exact"/>
        <w:jc w:val="both"/>
        <w:rPr>
          <w:rFonts w:hint="eastAsia" w:ascii="方正楷体_GBK" w:hAnsi="方正楷体_GBK" w:eastAsia="方正楷体_GBK" w:cs="方正楷体_GBK"/>
          <w:b/>
          <w:bCs/>
          <w:kern w:val="0"/>
        </w:rPr>
      </w:pPr>
      <w:bookmarkStart w:id="113" w:name="_Toc464332506"/>
      <w:bookmarkStart w:id="114" w:name="_Toc465857556"/>
      <w:bookmarkStart w:id="115" w:name="_Toc12888"/>
      <w:bookmarkStart w:id="116" w:name="_Toc466749395"/>
      <w:bookmarkStart w:id="117" w:name="_Toc471721537"/>
      <w:r>
        <w:rPr>
          <w:rFonts w:hint="eastAsia" w:ascii="方正楷体_GBK" w:hAnsi="方正楷体_GBK" w:eastAsia="方正楷体_GBK" w:cs="方正楷体_GBK"/>
          <w:b/>
          <w:bCs/>
          <w:kern w:val="0"/>
        </w:rPr>
        <w:t>1 事故风险</w:t>
      </w:r>
      <w:bookmarkEnd w:id="113"/>
      <w:bookmarkEnd w:id="114"/>
      <w:bookmarkEnd w:id="115"/>
      <w:bookmarkEnd w:id="116"/>
      <w:bookmarkEnd w:id="117"/>
    </w:p>
    <w:tbl>
      <w:tblPr>
        <w:tblStyle w:val="12"/>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3820"/>
        <w:gridCol w:w="1126"/>
        <w:gridCol w:w="1126"/>
        <w:gridCol w:w="786"/>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106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危险目标</w:t>
            </w:r>
          </w:p>
        </w:tc>
        <w:tc>
          <w:tcPr>
            <w:tcW w:w="3820"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可能出现的故障类型</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事故类型</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可能性</w:t>
            </w:r>
          </w:p>
        </w:tc>
        <w:tc>
          <w:tcPr>
            <w:tcW w:w="78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严重程度</w:t>
            </w:r>
          </w:p>
        </w:tc>
        <w:tc>
          <w:tcPr>
            <w:tcW w:w="146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1066" w:type="dxa"/>
            <w:vMerge w:val="restart"/>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lang w:eastAsia="zh-CN"/>
              </w:rPr>
            </w:pPr>
            <w:r>
              <w:rPr>
                <w:rFonts w:hint="eastAsia" w:ascii="Times New Roman" w:hAnsi="Times New Roman" w:eastAsia="方正仿宋_GBK" w:cs="Times New Roman"/>
                <w:color w:val="000000"/>
                <w:spacing w:val="-6"/>
                <w:kern w:val="0"/>
                <w:sz w:val="26"/>
                <w:szCs w:val="26"/>
              </w:rPr>
              <w:t>长输管线</w:t>
            </w:r>
            <w:r>
              <w:rPr>
                <w:rFonts w:hint="eastAsia" w:ascii="Times New Roman" w:hAnsi="Times New Roman" w:eastAsia="方正仿宋_GBK" w:cs="Times New Roman"/>
                <w:color w:val="000000"/>
                <w:spacing w:val="-6"/>
                <w:kern w:val="0"/>
                <w:sz w:val="26"/>
                <w:szCs w:val="26"/>
                <w:lang w:eastAsia="zh-CN"/>
              </w:rPr>
              <w:t>（</w:t>
            </w:r>
            <w:r>
              <w:rPr>
                <w:rFonts w:hint="eastAsia" w:ascii="Times New Roman" w:hAnsi="Times New Roman" w:eastAsia="方正仿宋_GBK" w:cs="Times New Roman"/>
                <w:color w:val="000000"/>
                <w:spacing w:val="-6"/>
                <w:kern w:val="0"/>
                <w:sz w:val="26"/>
                <w:szCs w:val="26"/>
                <w:lang w:val="en-US" w:eastAsia="zh-CN"/>
              </w:rPr>
              <w:t>含高后果区</w:t>
            </w:r>
            <w:r>
              <w:rPr>
                <w:rFonts w:hint="eastAsia" w:ascii="Times New Roman" w:hAnsi="Times New Roman" w:eastAsia="方正仿宋_GBK" w:cs="Times New Roman"/>
                <w:color w:val="000000"/>
                <w:spacing w:val="-6"/>
                <w:kern w:val="0"/>
                <w:sz w:val="26"/>
                <w:szCs w:val="26"/>
                <w:lang w:eastAsia="zh-CN"/>
              </w:rPr>
              <w:t>）</w:t>
            </w:r>
          </w:p>
        </w:tc>
        <w:tc>
          <w:tcPr>
            <w:tcW w:w="3820" w:type="dxa"/>
            <w:vMerge w:val="restart"/>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长输管道因</w:t>
            </w:r>
            <w:r>
              <w:rPr>
                <w:rFonts w:hint="eastAsia" w:ascii="Times New Roman" w:hAnsi="Times New Roman" w:eastAsia="方正仿宋_GBK" w:cs="Times New Roman"/>
                <w:color w:val="000000"/>
                <w:spacing w:val="-6"/>
                <w:kern w:val="0"/>
                <w:sz w:val="26"/>
                <w:szCs w:val="26"/>
                <w:lang w:val="zh-CN"/>
              </w:rPr>
              <w:t>山体滑坡，山洪暴发及地震等自然灾害</w:t>
            </w:r>
            <w:r>
              <w:rPr>
                <w:rFonts w:hint="eastAsia" w:ascii="Times New Roman" w:hAnsi="Times New Roman" w:eastAsia="方正仿宋_GBK" w:cs="Times New Roman"/>
                <w:color w:val="000000"/>
                <w:spacing w:val="-6"/>
                <w:kern w:val="0"/>
                <w:sz w:val="26"/>
                <w:szCs w:val="26"/>
              </w:rPr>
              <w:t>和人为第三方破坏等</w:t>
            </w:r>
            <w:r>
              <w:rPr>
                <w:rFonts w:hint="eastAsia" w:ascii="Times New Roman" w:hAnsi="Times New Roman" w:eastAsia="方正仿宋_GBK" w:cs="Times New Roman"/>
                <w:color w:val="000000"/>
                <w:spacing w:val="-6"/>
                <w:kern w:val="0"/>
                <w:sz w:val="26"/>
                <w:szCs w:val="26"/>
                <w:lang w:val="zh-CN"/>
              </w:rPr>
              <w:t>导致输送管线发生形变、断裂，引起燃气泄漏而发生火灾甚至爆炸等重大事故</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泄漏</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w:t>
            </w:r>
          </w:p>
        </w:tc>
        <w:tc>
          <w:tcPr>
            <w:tcW w:w="78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大</w:t>
            </w:r>
          </w:p>
        </w:tc>
        <w:tc>
          <w:tcPr>
            <w:tcW w:w="146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管线及周边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1066" w:type="dxa"/>
            <w:vMerge w:val="continue"/>
            <w:noWrap w:val="0"/>
            <w:vAlign w:val="center"/>
          </w:tcPr>
          <w:p>
            <w:pPr>
              <w:spacing w:line="400" w:lineRule="exact"/>
              <w:jc w:val="center"/>
              <w:rPr>
                <w:rFonts w:ascii="宋体" w:hAnsi="Times New Roman" w:eastAsia="宋体" w:cs="Times New Roman"/>
                <w:kern w:val="0"/>
                <w:sz w:val="20"/>
                <w:szCs w:val="21"/>
              </w:rPr>
            </w:pPr>
          </w:p>
        </w:tc>
        <w:tc>
          <w:tcPr>
            <w:tcW w:w="3820" w:type="dxa"/>
            <w:vMerge w:val="continue"/>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火灾</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w:t>
            </w:r>
          </w:p>
        </w:tc>
        <w:tc>
          <w:tcPr>
            <w:tcW w:w="78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大</w:t>
            </w:r>
          </w:p>
        </w:tc>
        <w:tc>
          <w:tcPr>
            <w:tcW w:w="146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管线及周边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1066" w:type="dxa"/>
            <w:vMerge w:val="continue"/>
            <w:noWrap w:val="0"/>
            <w:vAlign w:val="center"/>
          </w:tcPr>
          <w:p>
            <w:pPr>
              <w:spacing w:line="400" w:lineRule="exact"/>
              <w:jc w:val="center"/>
              <w:rPr>
                <w:rFonts w:ascii="宋体" w:hAnsi="Times New Roman" w:eastAsia="宋体" w:cs="Times New Roman"/>
                <w:kern w:val="0"/>
                <w:sz w:val="20"/>
                <w:szCs w:val="21"/>
              </w:rPr>
            </w:pPr>
          </w:p>
        </w:tc>
        <w:tc>
          <w:tcPr>
            <w:tcW w:w="3820" w:type="dxa"/>
            <w:vMerge w:val="continue"/>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爆炸</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w:t>
            </w:r>
          </w:p>
        </w:tc>
        <w:tc>
          <w:tcPr>
            <w:tcW w:w="78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中</w:t>
            </w:r>
          </w:p>
        </w:tc>
        <w:tc>
          <w:tcPr>
            <w:tcW w:w="146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管线及周边</w:t>
            </w:r>
          </w:p>
        </w:tc>
      </w:tr>
    </w:tbl>
    <w:p>
      <w:pPr>
        <w:pStyle w:val="6"/>
        <w:rPr>
          <w:rFonts w:hAnsi="宋体" w:eastAsia="宋体" w:cs="宋体"/>
          <w:b/>
          <w:bCs/>
          <w:kern w:val="0"/>
          <w:sz w:val="24"/>
          <w:szCs w:val="22"/>
        </w:rPr>
      </w:pPr>
    </w:p>
    <w:p>
      <w:pPr>
        <w:rPr>
          <w:rFonts w:ascii="Times New Roman" w:hAnsi="Times New Roman" w:eastAsia="宋体" w:cs="Times New Roman"/>
          <w:vanish/>
          <w:kern w:val="0"/>
          <w:sz w:val="20"/>
          <w:szCs w:val="20"/>
        </w:rPr>
      </w:pPr>
      <w:bookmarkStart w:id="118" w:name="_Toc464332507"/>
      <w:bookmarkStart w:id="119" w:name="_Toc465857557"/>
      <w:bookmarkStart w:id="120" w:name="_Toc466749396"/>
    </w:p>
    <w:tbl>
      <w:tblPr>
        <w:tblStyle w:val="12"/>
        <w:tblpPr w:leftFromText="180" w:rightFromText="180" w:vertAnchor="text" w:horzAnchor="page" w:tblpX="1663" w:tblpY="748"/>
        <w:tblOverlap w:val="never"/>
        <w:tblW w:w="921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026"/>
        <w:gridCol w:w="1373"/>
        <w:gridCol w:w="68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90" w:hRule="atLeast"/>
        </w:trPr>
        <w:tc>
          <w:tcPr>
            <w:tcW w:w="10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职务</w:t>
            </w:r>
          </w:p>
        </w:tc>
        <w:tc>
          <w:tcPr>
            <w:tcW w:w="1373"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人员</w:t>
            </w:r>
          </w:p>
        </w:tc>
        <w:tc>
          <w:tcPr>
            <w:tcW w:w="6812"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职责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814" w:hRule="atLeast"/>
        </w:trPr>
        <w:tc>
          <w:tcPr>
            <w:tcW w:w="10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组长</w:t>
            </w:r>
          </w:p>
        </w:tc>
        <w:tc>
          <w:tcPr>
            <w:tcW w:w="1373" w:type="dxa"/>
            <w:noWrap w:val="0"/>
            <w:vAlign w:val="center"/>
          </w:tcPr>
          <w:p>
            <w:pPr>
              <w:spacing w:line="400" w:lineRule="exact"/>
              <w:jc w:val="center"/>
              <w:rPr>
                <w:rFonts w:hint="default" w:ascii="Times New Roman" w:hAnsi="Times New Roman" w:eastAsia="方正仿宋_GBK" w:cs="Times New Roman"/>
                <w:color w:val="000000"/>
                <w:spacing w:val="-6"/>
                <w:kern w:val="0"/>
                <w:sz w:val="26"/>
                <w:szCs w:val="26"/>
                <w:lang w:val="en-US" w:eastAsia="zh-CN"/>
              </w:rPr>
            </w:pPr>
            <w:r>
              <w:rPr>
                <w:rFonts w:hint="eastAsia" w:ascii="Times New Roman" w:hAnsi="Times New Roman" w:eastAsia="方正仿宋_GBK" w:cs="Times New Roman"/>
                <w:color w:val="000000"/>
                <w:spacing w:val="-6"/>
                <w:kern w:val="0"/>
                <w:sz w:val="26"/>
                <w:szCs w:val="26"/>
              </w:rPr>
              <w:t>营运保障科科长</w:t>
            </w:r>
          </w:p>
        </w:tc>
        <w:tc>
          <w:tcPr>
            <w:tcW w:w="6812" w:type="dxa"/>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负责第一时间组织、协调、指挥当班人员开展事故先期处置。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53" w:hRule="atLeast"/>
        </w:trPr>
        <w:tc>
          <w:tcPr>
            <w:tcW w:w="10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副组长</w:t>
            </w:r>
          </w:p>
        </w:tc>
        <w:tc>
          <w:tcPr>
            <w:tcW w:w="1373"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当班人员</w:t>
            </w:r>
            <w:r>
              <w:rPr>
                <w:rFonts w:hint="eastAsia" w:ascii="Times New Roman" w:hAnsi="Times New Roman" w:eastAsia="方正仿宋_GBK" w:cs="Times New Roman"/>
                <w:color w:val="000000"/>
                <w:spacing w:val="-6"/>
                <w:kern w:val="0"/>
                <w:sz w:val="26"/>
                <w:szCs w:val="26"/>
              </w:rPr>
              <w:br w:type="textWrapping"/>
            </w:r>
            <w:r>
              <w:rPr>
                <w:rFonts w:hint="eastAsia" w:ascii="Times New Roman" w:hAnsi="Times New Roman" w:eastAsia="方正仿宋_GBK" w:cs="Times New Roman"/>
                <w:color w:val="000000"/>
                <w:spacing w:val="-6"/>
                <w:kern w:val="0"/>
                <w:sz w:val="26"/>
                <w:szCs w:val="26"/>
              </w:rPr>
              <w:t>或班长</w:t>
            </w:r>
          </w:p>
        </w:tc>
        <w:tc>
          <w:tcPr>
            <w:tcW w:w="6812" w:type="dxa"/>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负责及时将事故报告安全科；协助组长开展应急救援行动；在确保自身安全条件下，带头开展现场先期应急处置工作。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148" w:hRule="atLeast"/>
        </w:trPr>
        <w:tc>
          <w:tcPr>
            <w:tcW w:w="10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成员</w:t>
            </w:r>
          </w:p>
        </w:tc>
        <w:tc>
          <w:tcPr>
            <w:tcW w:w="1373"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安全员及当班人员</w:t>
            </w:r>
          </w:p>
        </w:tc>
        <w:tc>
          <w:tcPr>
            <w:tcW w:w="6812" w:type="dxa"/>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负责快速查找事故原因，查明事发部位，采取相应措施控制事故蔓延；负责抢救受伤或遇险人员；紧急情况，快速停止作业，听从指挥，撤离事故现场；在确保自身安全条件下开展先期应急处置。</w:t>
            </w:r>
          </w:p>
        </w:tc>
      </w:tr>
    </w:tbl>
    <w:p>
      <w:pPr>
        <w:pStyle w:val="4"/>
        <w:adjustRightInd w:val="0"/>
        <w:snapToGrid w:val="0"/>
        <w:spacing w:before="0" w:after="0" w:line="560" w:lineRule="exact"/>
        <w:jc w:val="both"/>
        <w:rPr>
          <w:rFonts w:hint="eastAsia" w:ascii="方正楷体_GBK" w:hAnsi="方正楷体_GBK" w:eastAsia="方正楷体_GBK" w:cs="方正楷体_GBK"/>
          <w:b/>
          <w:bCs/>
          <w:kern w:val="0"/>
        </w:rPr>
      </w:pPr>
      <w:bookmarkStart w:id="121" w:name="_Toc14540"/>
      <w:bookmarkStart w:id="122" w:name="_Toc471721538"/>
      <w:r>
        <w:rPr>
          <w:rFonts w:hint="eastAsia" w:ascii="方正楷体_GBK" w:hAnsi="方正楷体_GBK" w:eastAsia="方正楷体_GBK" w:cs="方正楷体_GBK"/>
          <w:b/>
          <w:bCs/>
          <w:kern w:val="0"/>
        </w:rPr>
        <w:t>2 应急工作职责</w:t>
      </w:r>
      <w:bookmarkEnd w:id="118"/>
      <w:bookmarkEnd w:id="119"/>
      <w:bookmarkEnd w:id="120"/>
      <w:bookmarkEnd w:id="121"/>
      <w:bookmarkEnd w:id="122"/>
    </w:p>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注：当现场处置不能控制事故时，按安全生产事故综合预案启动相应等级的应急响应。</w:t>
      </w:r>
      <w:bookmarkStart w:id="123" w:name="_Toc471721539"/>
      <w:bookmarkStart w:id="124" w:name="_Toc465857558"/>
      <w:bookmarkStart w:id="125" w:name="_Toc464332508"/>
      <w:bookmarkStart w:id="126" w:name="_Toc466749397"/>
    </w:p>
    <w:p>
      <w:pPr>
        <w:pStyle w:val="4"/>
        <w:adjustRightInd w:val="0"/>
        <w:snapToGrid w:val="0"/>
        <w:spacing w:before="0" w:after="0" w:line="560" w:lineRule="exact"/>
        <w:jc w:val="both"/>
        <w:rPr>
          <w:rFonts w:hint="eastAsia" w:ascii="方正楷体_GBK" w:hAnsi="方正楷体_GBK" w:eastAsia="方正楷体_GBK" w:cs="方正楷体_GBK"/>
          <w:b/>
          <w:bCs/>
          <w:kern w:val="0"/>
        </w:rPr>
      </w:pPr>
      <w:bookmarkStart w:id="127" w:name="_Toc1625"/>
      <w:r>
        <w:rPr>
          <w:rFonts w:hint="eastAsia" w:ascii="方正楷体_GBK" w:hAnsi="方正楷体_GBK" w:eastAsia="方正楷体_GBK" w:cs="方正楷体_GBK"/>
          <w:b/>
          <w:bCs/>
          <w:kern w:val="0"/>
        </w:rPr>
        <w:t>3 应急处置与注意事项</w:t>
      </w:r>
      <w:bookmarkEnd w:id="123"/>
      <w:bookmarkEnd w:id="124"/>
      <w:bookmarkEnd w:id="125"/>
      <w:bookmarkEnd w:id="126"/>
      <w:bookmarkEnd w:id="127"/>
    </w:p>
    <w:p>
      <w:pPr>
        <w:pStyle w:val="4"/>
        <w:adjustRightInd w:val="0"/>
        <w:snapToGrid w:val="0"/>
        <w:spacing w:before="0" w:after="0" w:line="560" w:lineRule="exact"/>
        <w:jc w:val="both"/>
        <w:rPr>
          <w:rFonts w:hint="eastAsia" w:ascii="方正楷体_GBK" w:hAnsi="方正楷体_GBK" w:eastAsia="方正楷体_GBK" w:cs="方正楷体_GBK"/>
          <w:b/>
          <w:bCs/>
          <w:kern w:val="0"/>
        </w:rPr>
      </w:pPr>
      <w:bookmarkStart w:id="128" w:name="_Toc8291"/>
      <w:r>
        <w:rPr>
          <w:rFonts w:hint="eastAsia" w:ascii="方正楷体_GBK" w:hAnsi="方正楷体_GBK" w:eastAsia="方正楷体_GBK" w:cs="方正楷体_GBK"/>
          <w:b/>
          <w:bCs/>
          <w:kern w:val="0"/>
        </w:rPr>
        <w:t>3.1长输管道发生泄漏处置方案</w:t>
      </w:r>
      <w:bookmarkEnd w:id="128"/>
    </w:p>
    <w:tbl>
      <w:tblPr>
        <w:tblStyle w:val="12"/>
        <w:tblW w:w="91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222"/>
        <w:gridCol w:w="720"/>
        <w:gridCol w:w="4447"/>
        <w:gridCol w:w="836"/>
        <w:gridCol w:w="18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57" w:hRule="atLeast"/>
        </w:trPr>
        <w:tc>
          <w:tcPr>
            <w:tcW w:w="1942"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事故地点</w:t>
            </w:r>
          </w:p>
        </w:tc>
        <w:tc>
          <w:tcPr>
            <w:tcW w:w="4447"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输气管道</w:t>
            </w:r>
          </w:p>
        </w:tc>
        <w:tc>
          <w:tcPr>
            <w:tcW w:w="83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事故类型</w:t>
            </w:r>
          </w:p>
        </w:tc>
        <w:tc>
          <w:tcPr>
            <w:tcW w:w="1875"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泄漏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6389" w:type="dxa"/>
            <w:gridSpan w:val="3"/>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事故情景</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 xml:space="preserve">   输气管道发生故障，引起燃气泄漏事故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88" w:hRule="atLeast"/>
        </w:trPr>
        <w:tc>
          <w:tcPr>
            <w:tcW w:w="6389" w:type="dxa"/>
            <w:gridSpan w:val="3"/>
            <w:noWrap w:val="0"/>
            <w:vAlign w:val="center"/>
          </w:tcPr>
          <w:p>
            <w:pPr>
              <w:spacing w:line="400" w:lineRule="exact"/>
              <w:jc w:val="both"/>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处置原则</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 xml:space="preserve">   禁止一切火源，立即组织堵漏，防止事故进一步扩大。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23" w:hRule="atLeast"/>
        </w:trPr>
        <w:tc>
          <w:tcPr>
            <w:tcW w:w="6389" w:type="dxa"/>
            <w:gridSpan w:val="3"/>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事故现场处置措施及要求</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责任人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042" w:hRule="atLeast"/>
        </w:trPr>
        <w:tc>
          <w:tcPr>
            <w:tcW w:w="6389" w:type="dxa"/>
            <w:gridSpan w:val="3"/>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1.群众发现泄漏后立即通知巡检人员，巡检人员接到险情通报或自行发现泄漏事故后，立即通知</w:t>
            </w:r>
            <w:r>
              <w:rPr>
                <w:rFonts w:hint="eastAsia" w:ascii="Times New Roman" w:hAnsi="Times New Roman" w:eastAsia="方正仿宋_GBK" w:cs="Times New Roman"/>
                <w:color w:val="000000"/>
                <w:spacing w:val="-6"/>
                <w:kern w:val="0"/>
                <w:sz w:val="26"/>
                <w:szCs w:val="26"/>
                <w:lang w:val="en-US" w:eastAsia="zh-CN"/>
              </w:rPr>
              <w:t>石柱</w:t>
            </w:r>
            <w:r>
              <w:rPr>
                <w:rFonts w:hint="eastAsia" w:ascii="Times New Roman" w:hAnsi="Times New Roman" w:eastAsia="方正仿宋_GBK" w:cs="Times New Roman"/>
                <w:color w:val="000000"/>
                <w:spacing w:val="-6"/>
                <w:kern w:val="0"/>
                <w:sz w:val="26"/>
                <w:szCs w:val="26"/>
              </w:rPr>
              <w:t>配气站值班人员；</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巡检人员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6389" w:type="dxa"/>
            <w:gridSpan w:val="3"/>
            <w:noWrap w:val="0"/>
            <w:vAlign w:val="center"/>
          </w:tcPr>
          <w:p>
            <w:pPr>
              <w:numPr>
                <w:ilvl w:val="0"/>
                <w:numId w:val="1"/>
              </w:num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lang w:val="en-US" w:eastAsia="zh-CN"/>
              </w:rPr>
              <w:t>石柱</w:t>
            </w:r>
            <w:r>
              <w:rPr>
                <w:rFonts w:hint="eastAsia" w:ascii="Times New Roman" w:hAnsi="Times New Roman" w:eastAsia="方正仿宋_GBK" w:cs="Times New Roman"/>
                <w:color w:val="000000"/>
                <w:spacing w:val="-6"/>
                <w:kern w:val="0"/>
                <w:sz w:val="26"/>
                <w:szCs w:val="26"/>
              </w:rPr>
              <w:t>配气站值班人员立即通过监控系统查看泄漏情况。</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当班班长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6389" w:type="dxa"/>
            <w:gridSpan w:val="3"/>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3.如系统发现泄漏明显，立即请示公司值班领导，是否通知上游配气站关闭天然气输送</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当班班长</w:t>
            </w:r>
          </w:p>
          <w:p>
            <w:pPr>
              <w:spacing w:line="400" w:lineRule="exact"/>
              <w:jc w:val="center"/>
              <w:rPr>
                <w:rFonts w:hint="default" w:ascii="Times New Roman" w:hAnsi="Times New Roman" w:eastAsia="方正仿宋_GBK" w:cs="Times New Roman"/>
                <w:color w:val="000000"/>
                <w:spacing w:val="-6"/>
                <w:kern w:val="0"/>
                <w:sz w:val="26"/>
                <w:szCs w:val="26"/>
                <w:lang w:val="en-US" w:eastAsia="zh-CN"/>
              </w:rPr>
            </w:pPr>
            <w:r>
              <w:rPr>
                <w:rFonts w:hint="eastAsia" w:ascii="Times New Roman" w:hAnsi="Times New Roman" w:eastAsia="方正仿宋_GBK" w:cs="Times New Roman"/>
                <w:color w:val="000000"/>
                <w:spacing w:val="-6"/>
                <w:kern w:val="0"/>
                <w:sz w:val="26"/>
                <w:szCs w:val="26"/>
              </w:rPr>
              <w:t>营运保障科科长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6389" w:type="dxa"/>
            <w:gridSpan w:val="3"/>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4.如系统发现泄漏不明显，立即安排巡检人员前往现场查看泄漏情况，并同步通知应急救援人员集结，赶往泄漏点。</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巡检人员</w:t>
            </w:r>
          </w:p>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应急救援人员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6389" w:type="dxa"/>
            <w:gridSpan w:val="3"/>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5.根据泄漏情况，设置警戒区域。</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应急救援人员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6389" w:type="dxa"/>
            <w:gridSpan w:val="3"/>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6.泄漏区域涉及高后果区域或泄漏点周围有居民的，应配合政府部门将群众疏散至警戒区外。</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应急救援人员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6389" w:type="dxa"/>
            <w:gridSpan w:val="3"/>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7.根据现场情况，制定堵漏或者紧急处置方案，并开展应急处置工作。</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应急救援人员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6389" w:type="dxa"/>
            <w:gridSpan w:val="3"/>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8.堵漏完毕，现场检测无泄漏后，人员撤离。</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应急救援人员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6389" w:type="dxa"/>
            <w:gridSpan w:val="3"/>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9.针对泄漏点，公司应制定完善修复计划，在完全修复前，监控运行。</w:t>
            </w:r>
          </w:p>
        </w:tc>
        <w:tc>
          <w:tcPr>
            <w:tcW w:w="2711"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9100" w:type="dxa"/>
            <w:gridSpan w:val="5"/>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注意事项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56" w:hRule="atLeast"/>
        </w:trPr>
        <w:tc>
          <w:tcPr>
            <w:tcW w:w="9100" w:type="dxa"/>
            <w:gridSpan w:val="5"/>
            <w:tcBorders>
              <w:right w:val="single" w:color="auto"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1）操作时穿戴好防护用品；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56" w:hRule="atLeast"/>
        </w:trPr>
        <w:tc>
          <w:tcPr>
            <w:tcW w:w="9100" w:type="dxa"/>
            <w:gridSpan w:val="5"/>
            <w:tcBorders>
              <w:right w:val="single" w:color="auto"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2）现场撒漏物料做好回收处置；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56" w:hRule="atLeast"/>
        </w:trPr>
        <w:tc>
          <w:tcPr>
            <w:tcW w:w="9100" w:type="dxa"/>
            <w:gridSpan w:val="5"/>
            <w:tcBorders>
              <w:right w:val="single" w:color="auto"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3）禁止一切火源。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1222"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其它说明</w:t>
            </w:r>
          </w:p>
        </w:tc>
        <w:tc>
          <w:tcPr>
            <w:tcW w:w="7878" w:type="dxa"/>
            <w:gridSpan w:val="4"/>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p>
        </w:tc>
      </w:tr>
    </w:tbl>
    <w:p>
      <w:pPr>
        <w:spacing w:line="360" w:lineRule="auto"/>
        <w:rPr>
          <w:rFonts w:ascii="宋体" w:hAnsi="Times New Roman" w:eastAsia="宋体" w:cs="宋体"/>
          <w:b/>
          <w:bCs/>
          <w:kern w:val="0"/>
          <w:sz w:val="24"/>
          <w:szCs w:val="22"/>
        </w:rPr>
      </w:pPr>
    </w:p>
    <w:p>
      <w:pPr>
        <w:pStyle w:val="4"/>
        <w:adjustRightInd w:val="0"/>
        <w:snapToGrid w:val="0"/>
        <w:spacing w:before="0" w:after="0" w:line="560" w:lineRule="exact"/>
        <w:jc w:val="both"/>
        <w:rPr>
          <w:rFonts w:hint="eastAsia" w:ascii="方正楷体_GBK" w:hAnsi="方正楷体_GBK" w:eastAsia="方正楷体_GBK" w:cs="方正楷体_GBK"/>
          <w:b/>
          <w:bCs/>
          <w:kern w:val="0"/>
        </w:rPr>
      </w:pPr>
      <w:bookmarkStart w:id="129" w:name="_Toc6628"/>
      <w:r>
        <w:rPr>
          <w:rFonts w:hint="eastAsia" w:ascii="方正楷体_GBK" w:hAnsi="方正楷体_GBK" w:eastAsia="方正楷体_GBK" w:cs="方正楷体_GBK"/>
          <w:b/>
          <w:bCs/>
          <w:kern w:val="0"/>
        </w:rPr>
        <w:t>3.2长输管道天然气泄漏引发火灾爆炸事故处置方案</w:t>
      </w:r>
      <w:bookmarkEnd w:id="129"/>
    </w:p>
    <w:tbl>
      <w:tblPr>
        <w:tblStyle w:val="12"/>
        <w:tblW w:w="9173" w:type="dxa"/>
        <w:tblInd w:w="108" w:type="dxa"/>
        <w:tblLayout w:type="fixed"/>
        <w:tblCellMar>
          <w:top w:w="0" w:type="dxa"/>
          <w:left w:w="0" w:type="dxa"/>
          <w:bottom w:w="0" w:type="dxa"/>
          <w:right w:w="0" w:type="dxa"/>
        </w:tblCellMar>
      </w:tblPr>
      <w:tblGrid>
        <w:gridCol w:w="1034"/>
        <w:gridCol w:w="148"/>
        <w:gridCol w:w="4477"/>
        <w:gridCol w:w="1554"/>
        <w:gridCol w:w="81"/>
        <w:gridCol w:w="1879"/>
      </w:tblGrid>
      <w:tr>
        <w:tblPrEx>
          <w:tblCellMar>
            <w:top w:w="0" w:type="dxa"/>
            <w:left w:w="0" w:type="dxa"/>
            <w:bottom w:w="0" w:type="dxa"/>
            <w:right w:w="0" w:type="dxa"/>
          </w:tblCellMar>
        </w:tblPrEx>
        <w:trPr>
          <w:trHeight w:val="440" w:hRule="exact"/>
        </w:trPr>
        <w:tc>
          <w:tcPr>
            <w:tcW w:w="11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事故车间</w:t>
            </w:r>
          </w:p>
        </w:tc>
        <w:tc>
          <w:tcPr>
            <w:tcW w:w="447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输气管道</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事故类型</w:t>
            </w:r>
          </w:p>
        </w:tc>
        <w:tc>
          <w:tcPr>
            <w:tcW w:w="1960"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火灾、爆炸</w:t>
            </w:r>
          </w:p>
        </w:tc>
      </w:tr>
      <w:tr>
        <w:tblPrEx>
          <w:tblCellMar>
            <w:top w:w="0" w:type="dxa"/>
            <w:left w:w="0" w:type="dxa"/>
            <w:bottom w:w="0" w:type="dxa"/>
            <w:right w:w="0" w:type="dxa"/>
          </w:tblCellMar>
        </w:tblPrEx>
        <w:trPr>
          <w:trHeight w:val="414" w:hRule="exact"/>
        </w:trPr>
        <w:tc>
          <w:tcPr>
            <w:tcW w:w="11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事故情景</w:t>
            </w:r>
          </w:p>
        </w:tc>
        <w:tc>
          <w:tcPr>
            <w:tcW w:w="7991" w:type="dxa"/>
            <w:gridSpan w:val="4"/>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 xml:space="preserve">   输气管道发生故障，引起燃气泄漏，并引发火灾爆炸事故</w:t>
            </w:r>
          </w:p>
        </w:tc>
      </w:tr>
      <w:tr>
        <w:tblPrEx>
          <w:tblCellMar>
            <w:top w:w="0" w:type="dxa"/>
            <w:left w:w="0" w:type="dxa"/>
            <w:bottom w:w="0" w:type="dxa"/>
            <w:right w:w="0" w:type="dxa"/>
          </w:tblCellMar>
        </w:tblPrEx>
        <w:trPr>
          <w:trHeight w:val="380" w:hRule="exact"/>
        </w:trPr>
        <w:tc>
          <w:tcPr>
            <w:tcW w:w="11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处置原则</w:t>
            </w:r>
          </w:p>
        </w:tc>
        <w:tc>
          <w:tcPr>
            <w:tcW w:w="7991" w:type="dxa"/>
            <w:gridSpan w:val="4"/>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 xml:space="preserve">   禁止一切火源，立即组织堵漏，防止事故进一步扩大。</w:t>
            </w:r>
          </w:p>
        </w:tc>
      </w:tr>
      <w:tr>
        <w:tblPrEx>
          <w:tblCellMar>
            <w:top w:w="0" w:type="dxa"/>
            <w:left w:w="0" w:type="dxa"/>
            <w:bottom w:w="0" w:type="dxa"/>
            <w:right w:w="0" w:type="dxa"/>
          </w:tblCellMar>
        </w:tblPrEx>
        <w:trPr>
          <w:trHeight w:val="434"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事故现场处置措施及要求</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责任人</w:t>
            </w:r>
          </w:p>
        </w:tc>
      </w:tr>
      <w:tr>
        <w:tblPrEx>
          <w:tblCellMar>
            <w:top w:w="0" w:type="dxa"/>
            <w:left w:w="0" w:type="dxa"/>
            <w:bottom w:w="0" w:type="dxa"/>
            <w:right w:w="0" w:type="dxa"/>
          </w:tblCellMar>
        </w:tblPrEx>
        <w:trPr>
          <w:trHeight w:val="805"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1.群众发现火灾事故或者巡检人员自行发现火灾事故后，立即通知</w:t>
            </w:r>
            <w:r>
              <w:rPr>
                <w:rFonts w:hint="eastAsia" w:ascii="Times New Roman" w:hAnsi="Times New Roman" w:eastAsia="方正仿宋_GBK" w:cs="Times New Roman"/>
                <w:color w:val="000000"/>
                <w:spacing w:val="-6"/>
                <w:kern w:val="0"/>
                <w:sz w:val="26"/>
                <w:szCs w:val="26"/>
                <w:lang w:val="en-US" w:eastAsia="zh-CN"/>
              </w:rPr>
              <w:t>石柱</w:t>
            </w:r>
            <w:r>
              <w:rPr>
                <w:rFonts w:hint="eastAsia" w:ascii="Times New Roman" w:hAnsi="Times New Roman" w:eastAsia="方正仿宋_GBK" w:cs="Times New Roman"/>
                <w:color w:val="000000"/>
                <w:spacing w:val="-6"/>
                <w:kern w:val="0"/>
                <w:sz w:val="26"/>
                <w:szCs w:val="26"/>
              </w:rPr>
              <w:t>配气站值班人员；</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巡检人员</w:t>
            </w:r>
          </w:p>
        </w:tc>
      </w:tr>
      <w:tr>
        <w:tblPrEx>
          <w:tblCellMar>
            <w:top w:w="0" w:type="dxa"/>
            <w:left w:w="0" w:type="dxa"/>
            <w:bottom w:w="0" w:type="dxa"/>
            <w:right w:w="0" w:type="dxa"/>
          </w:tblCellMar>
        </w:tblPrEx>
        <w:trPr>
          <w:trHeight w:val="888"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2.巡检人员立即赶往事发地点，设置警戒区域，协助疏散群众，配气站通知应急人员携带应急装备前往处置</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巡检人员</w:t>
            </w:r>
          </w:p>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应急人员</w:t>
            </w:r>
          </w:p>
        </w:tc>
      </w:tr>
      <w:tr>
        <w:tblPrEx>
          <w:tblCellMar>
            <w:top w:w="0" w:type="dxa"/>
            <w:left w:w="0" w:type="dxa"/>
            <w:bottom w:w="0" w:type="dxa"/>
            <w:right w:w="0" w:type="dxa"/>
          </w:tblCellMar>
        </w:tblPrEx>
        <w:trPr>
          <w:trHeight w:val="703"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3.应急人员到达现场后，通过携带的灭火器对现场进行灭火处置</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应急人员</w:t>
            </w:r>
          </w:p>
        </w:tc>
      </w:tr>
      <w:tr>
        <w:tblPrEx>
          <w:tblCellMar>
            <w:top w:w="0" w:type="dxa"/>
            <w:left w:w="0" w:type="dxa"/>
            <w:bottom w:w="0" w:type="dxa"/>
            <w:right w:w="0" w:type="dxa"/>
          </w:tblCellMar>
        </w:tblPrEx>
        <w:trPr>
          <w:trHeight w:val="703"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4.灭火后，防止复燃，防止形成爆炸性混合气氛围；</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应急人员</w:t>
            </w:r>
          </w:p>
        </w:tc>
      </w:tr>
      <w:tr>
        <w:tblPrEx>
          <w:tblCellMar>
            <w:top w:w="0" w:type="dxa"/>
            <w:left w:w="0" w:type="dxa"/>
            <w:bottom w:w="0" w:type="dxa"/>
            <w:right w:w="0" w:type="dxa"/>
          </w:tblCellMar>
        </w:tblPrEx>
        <w:trPr>
          <w:trHeight w:val="778"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5.根据现场情况，确定堵漏方式，如破坏严重，立即上报公司，通知上级配气站切断气源；</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应急人员</w:t>
            </w:r>
          </w:p>
        </w:tc>
      </w:tr>
      <w:tr>
        <w:tblPrEx>
          <w:tblCellMar>
            <w:top w:w="0" w:type="dxa"/>
            <w:left w:w="0" w:type="dxa"/>
            <w:bottom w:w="0" w:type="dxa"/>
            <w:right w:w="0" w:type="dxa"/>
          </w:tblCellMar>
        </w:tblPrEx>
        <w:trPr>
          <w:trHeight w:val="703"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6.如泄漏孔洞较小，便于堵漏处置，按3.1处置方式进行堵漏处置</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应急人员</w:t>
            </w:r>
          </w:p>
        </w:tc>
      </w:tr>
      <w:tr>
        <w:tblPrEx>
          <w:tblCellMar>
            <w:top w:w="0" w:type="dxa"/>
            <w:left w:w="0" w:type="dxa"/>
            <w:bottom w:w="0" w:type="dxa"/>
            <w:right w:w="0" w:type="dxa"/>
          </w:tblCellMar>
        </w:tblPrEx>
        <w:trPr>
          <w:trHeight w:val="847"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7.处置结束恢复供气，公司制定完善的管道修复方案，在完全修复前，监控运行。</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当班人员</w:t>
            </w:r>
          </w:p>
        </w:tc>
      </w:tr>
      <w:tr>
        <w:tblPrEx>
          <w:tblCellMar>
            <w:top w:w="0" w:type="dxa"/>
            <w:left w:w="0" w:type="dxa"/>
            <w:bottom w:w="0" w:type="dxa"/>
            <w:right w:w="0" w:type="dxa"/>
          </w:tblCellMar>
        </w:tblPrEx>
        <w:trPr>
          <w:trHeight w:val="380" w:hRule="exact"/>
        </w:trPr>
        <w:tc>
          <w:tcPr>
            <w:tcW w:w="9173" w:type="dxa"/>
            <w:gridSpan w:val="6"/>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注意事项</w:t>
            </w:r>
          </w:p>
        </w:tc>
      </w:tr>
      <w:tr>
        <w:tblPrEx>
          <w:tblCellMar>
            <w:top w:w="0" w:type="dxa"/>
            <w:left w:w="0" w:type="dxa"/>
            <w:bottom w:w="0" w:type="dxa"/>
            <w:right w:w="0" w:type="dxa"/>
          </w:tblCellMar>
        </w:tblPrEx>
        <w:trPr>
          <w:trHeight w:val="415" w:hRule="exact"/>
        </w:trPr>
        <w:tc>
          <w:tcPr>
            <w:tcW w:w="9173" w:type="dxa"/>
            <w:gridSpan w:val="6"/>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1）操作时穿戴好防护用品；</w:t>
            </w:r>
          </w:p>
        </w:tc>
      </w:tr>
      <w:tr>
        <w:tblPrEx>
          <w:tblCellMar>
            <w:top w:w="0" w:type="dxa"/>
            <w:left w:w="0" w:type="dxa"/>
            <w:bottom w:w="0" w:type="dxa"/>
            <w:right w:w="0" w:type="dxa"/>
          </w:tblCellMar>
        </w:tblPrEx>
        <w:trPr>
          <w:trHeight w:val="483" w:hRule="exact"/>
        </w:trPr>
        <w:tc>
          <w:tcPr>
            <w:tcW w:w="9173" w:type="dxa"/>
            <w:gridSpan w:val="6"/>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2）非应急人员禁止进入警戒区域；</w:t>
            </w:r>
          </w:p>
        </w:tc>
      </w:tr>
      <w:tr>
        <w:tblPrEx>
          <w:tblCellMar>
            <w:top w:w="0" w:type="dxa"/>
            <w:left w:w="0" w:type="dxa"/>
            <w:bottom w:w="0" w:type="dxa"/>
            <w:right w:w="0" w:type="dxa"/>
          </w:tblCellMar>
        </w:tblPrEx>
        <w:trPr>
          <w:trHeight w:val="457" w:hRule="exact"/>
        </w:trPr>
        <w:tc>
          <w:tcPr>
            <w:tcW w:w="9173" w:type="dxa"/>
            <w:gridSpan w:val="6"/>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3）灭火人员位于着火区域上风向展开灭火救援工作。</w:t>
            </w:r>
          </w:p>
        </w:tc>
      </w:tr>
      <w:tr>
        <w:tblPrEx>
          <w:tblCellMar>
            <w:top w:w="0" w:type="dxa"/>
            <w:left w:w="0" w:type="dxa"/>
            <w:bottom w:w="0" w:type="dxa"/>
            <w:right w:w="0" w:type="dxa"/>
          </w:tblCellMar>
        </w:tblPrEx>
        <w:trPr>
          <w:trHeight w:val="479" w:hRule="exact"/>
        </w:trPr>
        <w:tc>
          <w:tcPr>
            <w:tcW w:w="1034"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其它说明</w:t>
            </w:r>
          </w:p>
        </w:tc>
        <w:tc>
          <w:tcPr>
            <w:tcW w:w="8139"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p>
        </w:tc>
      </w:tr>
    </w:tbl>
    <w:p>
      <w:pPr>
        <w:pStyle w:val="4"/>
        <w:widowControl/>
        <w:spacing w:before="240" w:after="240" w:line="560" w:lineRule="exact"/>
        <w:rPr>
          <w:rFonts w:ascii="黑体" w:hAnsi="黑体" w:eastAsia="黑体"/>
          <w:b w:val="0"/>
          <w:bCs w:val="0"/>
          <w:kern w:val="0"/>
          <w:sz w:val="32"/>
        </w:rPr>
      </w:pPr>
      <w:bookmarkStart w:id="130" w:name="_Toc1056"/>
      <w:bookmarkStart w:id="131" w:name="_Toc10098"/>
      <w:r>
        <w:rPr>
          <w:rFonts w:hint="eastAsia" w:ascii="黑体" w:hAnsi="黑体" w:eastAsia="黑体"/>
          <w:b w:val="0"/>
          <w:bCs w:val="0"/>
          <w:kern w:val="0"/>
          <w:sz w:val="32"/>
        </w:rPr>
        <w:t>附件</w:t>
      </w:r>
      <w:r>
        <w:rPr>
          <w:rFonts w:hint="eastAsia" w:ascii="黑体" w:hAnsi="黑体" w:eastAsia="黑体"/>
          <w:b w:val="0"/>
          <w:bCs w:val="0"/>
          <w:kern w:val="0"/>
          <w:sz w:val="32"/>
          <w:lang w:val="en-US" w:eastAsia="zh-CN"/>
        </w:rPr>
        <w:t>9</w:t>
      </w:r>
      <w:r>
        <w:rPr>
          <w:rFonts w:ascii="黑体" w:hAnsi="黑体" w:eastAsia="黑体"/>
          <w:b w:val="0"/>
          <w:bCs w:val="0"/>
          <w:kern w:val="0"/>
          <w:sz w:val="32"/>
        </w:rPr>
        <w:t>.2</w:t>
      </w:r>
      <w:r>
        <w:rPr>
          <w:rFonts w:hint="eastAsia" w:ascii="黑体" w:hAnsi="黑体" w:eastAsia="黑体"/>
          <w:b w:val="0"/>
          <w:bCs w:val="0"/>
          <w:kern w:val="0"/>
          <w:sz w:val="32"/>
        </w:rPr>
        <w:t>配气站事故现场处置方案</w:t>
      </w:r>
      <w:bookmarkEnd w:id="130"/>
      <w:bookmarkEnd w:id="131"/>
    </w:p>
    <w:p>
      <w:pPr>
        <w:spacing w:line="360" w:lineRule="auto"/>
        <w:rPr>
          <w:rFonts w:hint="eastAsia" w:ascii="方正楷体_GBK" w:hAnsi="方正楷体_GBK" w:eastAsia="方正楷体_GBK" w:cs="方正楷体_GBK"/>
          <w:b/>
          <w:bCs/>
          <w:kern w:val="0"/>
          <w:sz w:val="32"/>
          <w:szCs w:val="32"/>
          <w:lang w:val="en-US" w:eastAsia="zh-CN" w:bidi="ar-SA"/>
        </w:rPr>
      </w:pPr>
      <w:r>
        <w:rPr>
          <w:rFonts w:hint="eastAsia" w:ascii="方正楷体_GBK" w:hAnsi="方正楷体_GBK" w:eastAsia="方正楷体_GBK" w:cs="方正楷体_GBK"/>
          <w:b/>
          <w:bCs/>
          <w:kern w:val="0"/>
          <w:sz w:val="32"/>
          <w:szCs w:val="32"/>
          <w:lang w:val="en-US" w:eastAsia="zh-CN" w:bidi="ar-SA"/>
        </w:rPr>
        <w:t>1 事故风险</w:t>
      </w:r>
    </w:p>
    <w:tbl>
      <w:tblPr>
        <w:tblStyle w:val="12"/>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3820"/>
        <w:gridCol w:w="1126"/>
        <w:gridCol w:w="1126"/>
        <w:gridCol w:w="786"/>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106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危险目标</w:t>
            </w:r>
          </w:p>
        </w:tc>
        <w:tc>
          <w:tcPr>
            <w:tcW w:w="3820"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可能出现的故障类型</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事故类型</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可能性</w:t>
            </w:r>
          </w:p>
        </w:tc>
        <w:tc>
          <w:tcPr>
            <w:tcW w:w="78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严重程度</w:t>
            </w:r>
          </w:p>
        </w:tc>
        <w:tc>
          <w:tcPr>
            <w:tcW w:w="146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1066" w:type="dxa"/>
            <w:vMerge w:val="restart"/>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配气站</w:t>
            </w:r>
          </w:p>
        </w:tc>
        <w:tc>
          <w:tcPr>
            <w:tcW w:w="3820" w:type="dxa"/>
            <w:vMerge w:val="restart"/>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配气站因设备故障、检维修等原因</w:t>
            </w:r>
            <w:r>
              <w:rPr>
                <w:rFonts w:hint="eastAsia" w:ascii="Times New Roman" w:hAnsi="Times New Roman" w:eastAsia="方正仿宋_GBK" w:cs="Times New Roman"/>
                <w:color w:val="000000"/>
                <w:spacing w:val="-6"/>
                <w:kern w:val="0"/>
                <w:sz w:val="26"/>
                <w:szCs w:val="26"/>
                <w:lang w:val="zh-CN"/>
              </w:rPr>
              <w:t>，引起燃气泄漏而发生火灾甚至爆炸等重大事故</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泄漏</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w:t>
            </w:r>
          </w:p>
        </w:tc>
        <w:tc>
          <w:tcPr>
            <w:tcW w:w="78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大</w:t>
            </w:r>
          </w:p>
        </w:tc>
        <w:tc>
          <w:tcPr>
            <w:tcW w:w="146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站场及周边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1066" w:type="dxa"/>
            <w:vMerge w:val="continue"/>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p>
        </w:tc>
        <w:tc>
          <w:tcPr>
            <w:tcW w:w="3820" w:type="dxa"/>
            <w:vMerge w:val="continue"/>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火灾</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w:t>
            </w:r>
          </w:p>
        </w:tc>
        <w:tc>
          <w:tcPr>
            <w:tcW w:w="78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大</w:t>
            </w:r>
          </w:p>
        </w:tc>
        <w:tc>
          <w:tcPr>
            <w:tcW w:w="146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站场及周边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1066" w:type="dxa"/>
            <w:vMerge w:val="continue"/>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p>
        </w:tc>
        <w:tc>
          <w:tcPr>
            <w:tcW w:w="3820" w:type="dxa"/>
            <w:vMerge w:val="continue"/>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爆炸</w:t>
            </w:r>
          </w:p>
        </w:tc>
        <w:tc>
          <w:tcPr>
            <w:tcW w:w="112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可能</w:t>
            </w:r>
          </w:p>
        </w:tc>
        <w:tc>
          <w:tcPr>
            <w:tcW w:w="78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中</w:t>
            </w:r>
          </w:p>
        </w:tc>
        <w:tc>
          <w:tcPr>
            <w:tcW w:w="146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站场及周边</w:t>
            </w:r>
          </w:p>
        </w:tc>
      </w:tr>
    </w:tbl>
    <w:p>
      <w:pPr>
        <w:pStyle w:val="4"/>
        <w:adjustRightInd w:val="0"/>
        <w:snapToGrid w:val="0"/>
        <w:spacing w:before="0" w:after="0" w:line="560" w:lineRule="exact"/>
        <w:jc w:val="both"/>
        <w:rPr>
          <w:rFonts w:hint="eastAsia" w:ascii="方正楷体_GBK" w:hAnsi="方正楷体_GBK" w:eastAsia="方正楷体_GBK" w:cs="方正楷体_GBK"/>
          <w:b/>
          <w:bCs/>
          <w:kern w:val="0"/>
        </w:rPr>
      </w:pPr>
      <w:bookmarkStart w:id="132" w:name="_Toc24005"/>
      <w:r>
        <w:rPr>
          <w:rFonts w:hint="eastAsia" w:ascii="方正楷体_GBK" w:hAnsi="方正楷体_GBK" w:eastAsia="方正楷体_GBK" w:cs="方正楷体_GBK"/>
          <w:b/>
          <w:bCs/>
          <w:kern w:val="0"/>
        </w:rPr>
        <w:t>2 应急工作职责</w:t>
      </w:r>
      <w:bookmarkEnd w:id="132"/>
    </w:p>
    <w:p>
      <w:pPr>
        <w:pStyle w:val="6"/>
        <w:rPr>
          <w:rFonts w:hAnsi="宋体" w:eastAsia="宋体" w:cs="宋体"/>
          <w:b/>
          <w:bCs/>
          <w:kern w:val="0"/>
          <w:sz w:val="24"/>
          <w:szCs w:val="22"/>
        </w:rPr>
      </w:pPr>
    </w:p>
    <w:p>
      <w:pPr>
        <w:rPr>
          <w:rFonts w:ascii="Times New Roman" w:hAnsi="Times New Roman" w:eastAsia="宋体" w:cs="Times New Roman"/>
          <w:vanish/>
          <w:kern w:val="0"/>
          <w:sz w:val="20"/>
          <w:szCs w:val="20"/>
        </w:rPr>
      </w:pPr>
    </w:p>
    <w:tbl>
      <w:tblPr>
        <w:tblStyle w:val="12"/>
        <w:tblW w:w="921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199"/>
        <w:gridCol w:w="1200"/>
        <w:gridCol w:w="68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90" w:hRule="atLeast"/>
        </w:trPr>
        <w:tc>
          <w:tcPr>
            <w:tcW w:w="1199"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职务</w:t>
            </w:r>
          </w:p>
        </w:tc>
        <w:tc>
          <w:tcPr>
            <w:tcW w:w="1200"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人员</w:t>
            </w:r>
          </w:p>
        </w:tc>
        <w:tc>
          <w:tcPr>
            <w:tcW w:w="6812"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职责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940" w:hRule="atLeast"/>
        </w:trPr>
        <w:tc>
          <w:tcPr>
            <w:tcW w:w="1199"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组长</w:t>
            </w:r>
          </w:p>
        </w:tc>
        <w:tc>
          <w:tcPr>
            <w:tcW w:w="1200"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站长</w:t>
            </w:r>
          </w:p>
        </w:tc>
        <w:tc>
          <w:tcPr>
            <w:tcW w:w="6812"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负责第一时间组织、协调、指挥当班人员开展事故先期处置。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200" w:hRule="atLeast"/>
        </w:trPr>
        <w:tc>
          <w:tcPr>
            <w:tcW w:w="1199"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成员</w:t>
            </w:r>
          </w:p>
        </w:tc>
        <w:tc>
          <w:tcPr>
            <w:tcW w:w="1200"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安全员及当班人员</w:t>
            </w:r>
          </w:p>
        </w:tc>
        <w:tc>
          <w:tcPr>
            <w:tcW w:w="6812"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负责快速查找事故原因，查明事发部位，采取相应措施控制事故蔓延；负责抢救受伤或遇险人员；紧急情况，快速停止作业，听从指挥，撤离事故现场；在确保自身安全条件下开展先期应急处置。</w:t>
            </w:r>
          </w:p>
        </w:tc>
      </w:tr>
    </w:tbl>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注：当现场处置不能控制事故时，按安全生产事故综合预案启动相应等级的应急响应。</w:t>
      </w:r>
    </w:p>
    <w:p>
      <w:pPr>
        <w:pStyle w:val="4"/>
        <w:adjustRightInd w:val="0"/>
        <w:snapToGrid w:val="0"/>
        <w:spacing w:before="0" w:after="0" w:line="560" w:lineRule="exact"/>
        <w:jc w:val="both"/>
        <w:rPr>
          <w:rFonts w:hint="eastAsia" w:ascii="方正楷体_GBK" w:hAnsi="方正楷体_GBK" w:eastAsia="方正楷体_GBK" w:cs="方正楷体_GBK"/>
          <w:b/>
          <w:bCs/>
          <w:kern w:val="0"/>
        </w:rPr>
      </w:pPr>
      <w:bookmarkStart w:id="133" w:name="_Toc30282"/>
      <w:r>
        <w:rPr>
          <w:rFonts w:hint="eastAsia" w:ascii="方正楷体_GBK" w:hAnsi="方正楷体_GBK" w:eastAsia="方正楷体_GBK" w:cs="方正楷体_GBK"/>
          <w:b/>
          <w:bCs/>
          <w:kern w:val="0"/>
        </w:rPr>
        <w:t>3 应急处置与注意事项</w:t>
      </w:r>
      <w:bookmarkEnd w:id="133"/>
    </w:p>
    <w:p>
      <w:pPr>
        <w:pStyle w:val="4"/>
        <w:adjustRightInd w:val="0"/>
        <w:snapToGrid w:val="0"/>
        <w:spacing w:before="0" w:after="0" w:line="560" w:lineRule="exact"/>
        <w:jc w:val="both"/>
        <w:rPr>
          <w:rFonts w:hint="eastAsia" w:ascii="方正楷体_GBK" w:hAnsi="方正楷体_GBK" w:eastAsia="方正楷体_GBK" w:cs="方正楷体_GBK"/>
          <w:b/>
          <w:bCs/>
          <w:kern w:val="0"/>
        </w:rPr>
      </w:pPr>
      <w:bookmarkStart w:id="134" w:name="_Toc12530"/>
      <w:r>
        <w:rPr>
          <w:rFonts w:hint="eastAsia" w:ascii="方正楷体_GBK" w:hAnsi="方正楷体_GBK" w:eastAsia="方正楷体_GBK" w:cs="方正楷体_GBK"/>
          <w:b/>
          <w:bCs/>
          <w:kern w:val="0"/>
        </w:rPr>
        <w:t>3.1配气站发生泄漏处置方案</w:t>
      </w:r>
      <w:bookmarkEnd w:id="134"/>
    </w:p>
    <w:tbl>
      <w:tblPr>
        <w:tblStyle w:val="12"/>
        <w:tblW w:w="91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1181"/>
        <w:gridCol w:w="761"/>
        <w:gridCol w:w="3207"/>
        <w:gridCol w:w="2076"/>
        <w:gridCol w:w="327"/>
        <w:gridCol w:w="15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57" w:hRule="atLeast"/>
        </w:trPr>
        <w:tc>
          <w:tcPr>
            <w:tcW w:w="1942"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事故地点</w:t>
            </w:r>
          </w:p>
        </w:tc>
        <w:tc>
          <w:tcPr>
            <w:tcW w:w="3207"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站场</w:t>
            </w:r>
          </w:p>
        </w:tc>
        <w:tc>
          <w:tcPr>
            <w:tcW w:w="2076"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事故类型</w:t>
            </w:r>
          </w:p>
        </w:tc>
        <w:tc>
          <w:tcPr>
            <w:tcW w:w="1875" w:type="dxa"/>
            <w:gridSpan w:val="2"/>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泄漏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1181"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事故情景</w:t>
            </w:r>
          </w:p>
        </w:tc>
        <w:tc>
          <w:tcPr>
            <w:tcW w:w="7919" w:type="dxa"/>
            <w:gridSpan w:val="5"/>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 xml:space="preserve">   站场设备设施发生故障，引起燃气泄漏事故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1181"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处置原则</w:t>
            </w:r>
          </w:p>
        </w:tc>
        <w:tc>
          <w:tcPr>
            <w:tcW w:w="7919" w:type="dxa"/>
            <w:gridSpan w:val="5"/>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 xml:space="preserve">   禁止一切火源，立即组织堵漏，防止事故进一步扩大。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7552" w:type="dxa"/>
            <w:gridSpan w:val="5"/>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事故现场处置措施及要求</w:t>
            </w:r>
          </w:p>
        </w:tc>
        <w:tc>
          <w:tcPr>
            <w:tcW w:w="154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责任人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7552" w:type="dxa"/>
            <w:gridSpan w:val="5"/>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1.配气站值班人员发现泄漏后，立即通知当班领导；</w:t>
            </w:r>
          </w:p>
        </w:tc>
        <w:tc>
          <w:tcPr>
            <w:tcW w:w="154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值班人员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7552" w:type="dxa"/>
            <w:gridSpan w:val="5"/>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2.值班人员立即组织人员查看泄漏情况。</w:t>
            </w:r>
          </w:p>
        </w:tc>
        <w:tc>
          <w:tcPr>
            <w:tcW w:w="154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当班班长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7552" w:type="dxa"/>
            <w:gridSpan w:val="5"/>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3.如发现泄漏明显，立即请示公司值班领导，是否通知上游配气站关闭天然气输送</w:t>
            </w:r>
          </w:p>
        </w:tc>
        <w:tc>
          <w:tcPr>
            <w:tcW w:w="154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当班班长</w:t>
            </w:r>
          </w:p>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营运保障科科长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19" w:hRule="atLeast"/>
        </w:trPr>
        <w:tc>
          <w:tcPr>
            <w:tcW w:w="7552" w:type="dxa"/>
            <w:gridSpan w:val="5"/>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4.如系统发现泄漏较小，立即发出警示信号，安排人员进行现场处置。</w:t>
            </w:r>
          </w:p>
        </w:tc>
        <w:tc>
          <w:tcPr>
            <w:tcW w:w="154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06" w:hRule="atLeast"/>
        </w:trPr>
        <w:tc>
          <w:tcPr>
            <w:tcW w:w="7552" w:type="dxa"/>
            <w:gridSpan w:val="5"/>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5.如当班人员无法处置，立即通知应急救援人员展开应急处置工作。</w:t>
            </w:r>
          </w:p>
        </w:tc>
        <w:tc>
          <w:tcPr>
            <w:tcW w:w="154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应急救援人员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05" w:hRule="atLeast"/>
        </w:trPr>
        <w:tc>
          <w:tcPr>
            <w:tcW w:w="7552" w:type="dxa"/>
            <w:gridSpan w:val="5"/>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6.根据现场情况，制定堵漏或者紧急处置方案，并开展应急处置工作。</w:t>
            </w:r>
          </w:p>
        </w:tc>
        <w:tc>
          <w:tcPr>
            <w:tcW w:w="154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应急救援人员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19" w:hRule="atLeast"/>
        </w:trPr>
        <w:tc>
          <w:tcPr>
            <w:tcW w:w="7552" w:type="dxa"/>
            <w:gridSpan w:val="5"/>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7.堵漏完毕，现场检测无泄漏后，人员撤离。</w:t>
            </w:r>
          </w:p>
        </w:tc>
        <w:tc>
          <w:tcPr>
            <w:tcW w:w="154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应急救援人员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46" w:hRule="atLeast"/>
        </w:trPr>
        <w:tc>
          <w:tcPr>
            <w:tcW w:w="7552" w:type="dxa"/>
            <w:gridSpan w:val="5"/>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8.针对泄漏点，公司应制定完善修复计划，在完全修复前，监控运行。</w:t>
            </w:r>
          </w:p>
        </w:tc>
        <w:tc>
          <w:tcPr>
            <w:tcW w:w="1548"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当班人员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9100" w:type="dxa"/>
            <w:gridSpan w:val="6"/>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注意事项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56" w:hRule="atLeast"/>
        </w:trPr>
        <w:tc>
          <w:tcPr>
            <w:tcW w:w="9100" w:type="dxa"/>
            <w:gridSpan w:val="6"/>
            <w:tcBorders>
              <w:right w:val="single" w:color="auto"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1）操作时穿戴好防护用品；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56" w:hRule="atLeast"/>
        </w:trPr>
        <w:tc>
          <w:tcPr>
            <w:tcW w:w="9100" w:type="dxa"/>
            <w:gridSpan w:val="6"/>
            <w:tcBorders>
              <w:right w:val="single" w:color="auto"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2）现场撒漏物料做好回收处置；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156" w:hRule="atLeast"/>
        </w:trPr>
        <w:tc>
          <w:tcPr>
            <w:tcW w:w="9100" w:type="dxa"/>
            <w:gridSpan w:val="6"/>
            <w:tcBorders>
              <w:right w:val="single" w:color="auto"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3）禁止一切火源。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23" w:hRule="atLeast"/>
        </w:trPr>
        <w:tc>
          <w:tcPr>
            <w:tcW w:w="1181" w:type="dxa"/>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其它说明</w:t>
            </w:r>
          </w:p>
        </w:tc>
        <w:tc>
          <w:tcPr>
            <w:tcW w:w="7919" w:type="dxa"/>
            <w:gridSpan w:val="5"/>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 xml:space="preserve"> </w:t>
            </w:r>
          </w:p>
        </w:tc>
      </w:tr>
    </w:tbl>
    <w:p>
      <w:pPr>
        <w:spacing w:line="360" w:lineRule="auto"/>
        <w:rPr>
          <w:rFonts w:ascii="宋体" w:hAnsi="Times New Roman" w:eastAsia="宋体" w:cs="宋体"/>
          <w:b/>
          <w:bCs/>
          <w:kern w:val="0"/>
          <w:sz w:val="24"/>
          <w:szCs w:val="22"/>
        </w:rPr>
      </w:pPr>
    </w:p>
    <w:p>
      <w:pPr>
        <w:widowControl w:val="0"/>
        <w:ind w:firstLine="420" w:firstLineChars="200"/>
        <w:jc w:val="both"/>
        <w:rPr>
          <w:rFonts w:ascii="Times New Roman" w:hAnsi="Times New Roman" w:eastAsia="宋体" w:cs="Angsana New"/>
          <w:szCs w:val="24"/>
          <w:lang w:val="en-US" w:eastAsia="zh-CN" w:bidi="th-TH"/>
        </w:rPr>
      </w:pPr>
    </w:p>
    <w:p>
      <w:pPr>
        <w:rPr>
          <w:rFonts w:ascii="Times New Roman" w:hAnsi="Times New Roman" w:eastAsia="宋体" w:cs="Times New Roman"/>
          <w:kern w:val="0"/>
          <w:sz w:val="20"/>
          <w:szCs w:val="20"/>
        </w:rPr>
      </w:pPr>
    </w:p>
    <w:p>
      <w:pPr>
        <w:widowControl w:val="0"/>
        <w:ind w:firstLine="420" w:firstLineChars="200"/>
        <w:jc w:val="both"/>
        <w:rPr>
          <w:rFonts w:ascii="Times New Roman" w:hAnsi="Times New Roman" w:eastAsia="宋体" w:cs="Angsana New"/>
          <w:szCs w:val="24"/>
          <w:lang w:val="en-US" w:eastAsia="zh-CN" w:bidi="th-TH"/>
        </w:rPr>
      </w:pPr>
    </w:p>
    <w:p>
      <w:pPr>
        <w:rPr>
          <w:rFonts w:ascii="Times New Roman" w:hAnsi="Times New Roman" w:eastAsia="宋体" w:cs="Times New Roman"/>
          <w:kern w:val="0"/>
          <w:sz w:val="20"/>
          <w:szCs w:val="20"/>
        </w:rPr>
      </w:pPr>
    </w:p>
    <w:p>
      <w:pPr>
        <w:widowControl w:val="0"/>
        <w:ind w:firstLine="420" w:firstLineChars="200"/>
        <w:jc w:val="both"/>
        <w:rPr>
          <w:rFonts w:ascii="Times New Roman" w:hAnsi="Times New Roman" w:eastAsia="宋体" w:cs="Angsana New"/>
          <w:szCs w:val="24"/>
          <w:lang w:val="en-US" w:eastAsia="zh-CN" w:bidi="th-TH"/>
        </w:rPr>
      </w:pPr>
    </w:p>
    <w:p>
      <w:pPr>
        <w:rPr>
          <w:rFonts w:ascii="Times New Roman" w:hAnsi="Times New Roman" w:eastAsia="宋体" w:cs="Times New Roman"/>
          <w:kern w:val="0"/>
          <w:sz w:val="20"/>
          <w:szCs w:val="20"/>
        </w:rPr>
      </w:pPr>
    </w:p>
    <w:p>
      <w:pPr>
        <w:pStyle w:val="4"/>
        <w:adjustRightInd w:val="0"/>
        <w:snapToGrid w:val="0"/>
        <w:spacing w:before="0" w:after="0" w:line="560" w:lineRule="exact"/>
        <w:jc w:val="both"/>
        <w:rPr>
          <w:rFonts w:hint="eastAsia" w:ascii="方正楷体_GBK" w:hAnsi="方正楷体_GBK" w:eastAsia="方正楷体_GBK" w:cs="方正楷体_GBK"/>
          <w:b/>
          <w:bCs/>
          <w:kern w:val="0"/>
        </w:rPr>
      </w:pPr>
      <w:bookmarkStart w:id="135" w:name="_Toc4167"/>
      <w:r>
        <w:rPr>
          <w:rFonts w:hint="eastAsia" w:ascii="方正楷体_GBK" w:hAnsi="方正楷体_GBK" w:eastAsia="方正楷体_GBK" w:cs="方正楷体_GBK"/>
          <w:b/>
          <w:bCs/>
          <w:kern w:val="0"/>
        </w:rPr>
        <w:t>3.2配气站天然气泄漏引发火灾爆炸事故处置方案</w:t>
      </w:r>
      <w:bookmarkEnd w:id="135"/>
    </w:p>
    <w:tbl>
      <w:tblPr>
        <w:tblStyle w:val="12"/>
        <w:tblW w:w="9173" w:type="dxa"/>
        <w:tblInd w:w="108" w:type="dxa"/>
        <w:tblLayout w:type="fixed"/>
        <w:tblCellMar>
          <w:top w:w="0" w:type="dxa"/>
          <w:left w:w="0" w:type="dxa"/>
          <w:bottom w:w="0" w:type="dxa"/>
          <w:right w:w="0" w:type="dxa"/>
        </w:tblCellMar>
      </w:tblPr>
      <w:tblGrid>
        <w:gridCol w:w="1034"/>
        <w:gridCol w:w="148"/>
        <w:gridCol w:w="4477"/>
        <w:gridCol w:w="1554"/>
        <w:gridCol w:w="81"/>
        <w:gridCol w:w="1879"/>
      </w:tblGrid>
      <w:tr>
        <w:tblPrEx>
          <w:tblCellMar>
            <w:top w:w="0" w:type="dxa"/>
            <w:left w:w="0" w:type="dxa"/>
            <w:bottom w:w="0" w:type="dxa"/>
            <w:right w:w="0" w:type="dxa"/>
          </w:tblCellMar>
        </w:tblPrEx>
        <w:trPr>
          <w:trHeight w:val="440" w:hRule="exact"/>
        </w:trPr>
        <w:tc>
          <w:tcPr>
            <w:tcW w:w="11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事故车间</w:t>
            </w:r>
          </w:p>
        </w:tc>
        <w:tc>
          <w:tcPr>
            <w:tcW w:w="4477"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站场</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事故类型</w:t>
            </w:r>
          </w:p>
        </w:tc>
        <w:tc>
          <w:tcPr>
            <w:tcW w:w="1960"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火灾、爆炸</w:t>
            </w:r>
          </w:p>
        </w:tc>
      </w:tr>
      <w:tr>
        <w:tblPrEx>
          <w:tblCellMar>
            <w:top w:w="0" w:type="dxa"/>
            <w:left w:w="0" w:type="dxa"/>
            <w:bottom w:w="0" w:type="dxa"/>
            <w:right w:w="0" w:type="dxa"/>
          </w:tblCellMar>
        </w:tblPrEx>
        <w:trPr>
          <w:trHeight w:val="414" w:hRule="exact"/>
        </w:trPr>
        <w:tc>
          <w:tcPr>
            <w:tcW w:w="11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事故情景</w:t>
            </w:r>
          </w:p>
        </w:tc>
        <w:tc>
          <w:tcPr>
            <w:tcW w:w="7991" w:type="dxa"/>
            <w:gridSpan w:val="4"/>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 xml:space="preserve">   站场发生故障，引起燃气泄漏，并引发火灾爆炸事故</w:t>
            </w:r>
          </w:p>
        </w:tc>
      </w:tr>
      <w:tr>
        <w:tblPrEx>
          <w:tblCellMar>
            <w:top w:w="0" w:type="dxa"/>
            <w:left w:w="0" w:type="dxa"/>
            <w:bottom w:w="0" w:type="dxa"/>
            <w:right w:w="0" w:type="dxa"/>
          </w:tblCellMar>
        </w:tblPrEx>
        <w:trPr>
          <w:trHeight w:val="380" w:hRule="exact"/>
        </w:trPr>
        <w:tc>
          <w:tcPr>
            <w:tcW w:w="1182" w:type="dxa"/>
            <w:gridSpan w:val="2"/>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处置原则</w:t>
            </w:r>
          </w:p>
        </w:tc>
        <w:tc>
          <w:tcPr>
            <w:tcW w:w="7991" w:type="dxa"/>
            <w:gridSpan w:val="4"/>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 xml:space="preserve">   禁止一切火源，立即组织堵漏，防止事故进一步扩大。</w:t>
            </w:r>
          </w:p>
        </w:tc>
      </w:tr>
      <w:tr>
        <w:tblPrEx>
          <w:tblCellMar>
            <w:top w:w="0" w:type="dxa"/>
            <w:left w:w="0" w:type="dxa"/>
            <w:bottom w:w="0" w:type="dxa"/>
            <w:right w:w="0" w:type="dxa"/>
          </w:tblCellMar>
        </w:tblPrEx>
        <w:trPr>
          <w:trHeight w:val="434"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事故现场处置措施及要求</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责任人</w:t>
            </w:r>
          </w:p>
        </w:tc>
      </w:tr>
      <w:tr>
        <w:tblPrEx>
          <w:tblCellMar>
            <w:top w:w="0" w:type="dxa"/>
            <w:left w:w="0" w:type="dxa"/>
            <w:bottom w:w="0" w:type="dxa"/>
            <w:right w:w="0" w:type="dxa"/>
          </w:tblCellMar>
        </w:tblPrEx>
        <w:trPr>
          <w:trHeight w:val="805"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1.站场发生火灾事故，站长应立即组织人员进行灭火处理，并立即通知应急人员；</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当班人员</w:t>
            </w:r>
          </w:p>
        </w:tc>
      </w:tr>
      <w:tr>
        <w:tblPrEx>
          <w:tblCellMar>
            <w:top w:w="0" w:type="dxa"/>
            <w:left w:w="0" w:type="dxa"/>
            <w:bottom w:w="0" w:type="dxa"/>
            <w:right w:w="0" w:type="dxa"/>
          </w:tblCellMar>
        </w:tblPrEx>
        <w:trPr>
          <w:trHeight w:val="703"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2.通过灭火器对现场火灾进行灭火处理</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当班人员</w:t>
            </w:r>
          </w:p>
        </w:tc>
      </w:tr>
      <w:tr>
        <w:tblPrEx>
          <w:tblCellMar>
            <w:top w:w="0" w:type="dxa"/>
            <w:left w:w="0" w:type="dxa"/>
            <w:bottom w:w="0" w:type="dxa"/>
            <w:right w:w="0" w:type="dxa"/>
          </w:tblCellMar>
        </w:tblPrEx>
        <w:trPr>
          <w:trHeight w:val="874"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3.如现场人员未能处置，应急人员到达现场后，通过携带的灭火器对现场进行灭火处置</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应急人员</w:t>
            </w:r>
          </w:p>
        </w:tc>
      </w:tr>
      <w:tr>
        <w:tblPrEx>
          <w:tblCellMar>
            <w:top w:w="0" w:type="dxa"/>
            <w:left w:w="0" w:type="dxa"/>
            <w:bottom w:w="0" w:type="dxa"/>
            <w:right w:w="0" w:type="dxa"/>
          </w:tblCellMar>
        </w:tblPrEx>
        <w:trPr>
          <w:trHeight w:val="703"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4.灭火后，防止复燃，防止形成爆炸性混合气氛围；</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应急人员</w:t>
            </w:r>
          </w:p>
        </w:tc>
      </w:tr>
      <w:tr>
        <w:tblPrEx>
          <w:tblCellMar>
            <w:top w:w="0" w:type="dxa"/>
            <w:left w:w="0" w:type="dxa"/>
            <w:bottom w:w="0" w:type="dxa"/>
            <w:right w:w="0" w:type="dxa"/>
          </w:tblCellMar>
        </w:tblPrEx>
        <w:trPr>
          <w:trHeight w:val="887"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5.根据现场情况，确定堵漏方式，如破坏严重，立即上报公司，通知上级配气站切断气源；</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应急人员</w:t>
            </w:r>
          </w:p>
        </w:tc>
      </w:tr>
      <w:tr>
        <w:tblPrEx>
          <w:tblCellMar>
            <w:top w:w="0" w:type="dxa"/>
            <w:left w:w="0" w:type="dxa"/>
            <w:bottom w:w="0" w:type="dxa"/>
            <w:right w:w="0" w:type="dxa"/>
          </w:tblCellMar>
        </w:tblPrEx>
        <w:trPr>
          <w:trHeight w:val="703"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6.如泄漏孔洞较小，便于堵漏处置，按3.1处置方式进行堵漏处置</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应急人员</w:t>
            </w:r>
          </w:p>
        </w:tc>
      </w:tr>
      <w:tr>
        <w:tblPrEx>
          <w:tblCellMar>
            <w:top w:w="0" w:type="dxa"/>
            <w:left w:w="0" w:type="dxa"/>
            <w:bottom w:w="0" w:type="dxa"/>
            <w:right w:w="0" w:type="dxa"/>
          </w:tblCellMar>
        </w:tblPrEx>
        <w:trPr>
          <w:trHeight w:val="806" w:hRule="exact"/>
        </w:trPr>
        <w:tc>
          <w:tcPr>
            <w:tcW w:w="7294"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7.处置结束恢复供气，公司制定完善的管道修复方案，在完全修复前，监控运行。</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当班人员</w:t>
            </w:r>
          </w:p>
        </w:tc>
      </w:tr>
      <w:tr>
        <w:tblPrEx>
          <w:tblCellMar>
            <w:top w:w="0" w:type="dxa"/>
            <w:left w:w="0" w:type="dxa"/>
            <w:bottom w:w="0" w:type="dxa"/>
            <w:right w:w="0" w:type="dxa"/>
          </w:tblCellMar>
        </w:tblPrEx>
        <w:trPr>
          <w:trHeight w:val="469" w:hRule="exact"/>
        </w:trPr>
        <w:tc>
          <w:tcPr>
            <w:tcW w:w="9173" w:type="dxa"/>
            <w:gridSpan w:val="6"/>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注意事项</w:t>
            </w:r>
          </w:p>
        </w:tc>
      </w:tr>
      <w:tr>
        <w:tblPrEx>
          <w:tblCellMar>
            <w:top w:w="0" w:type="dxa"/>
            <w:left w:w="0" w:type="dxa"/>
            <w:bottom w:w="0" w:type="dxa"/>
            <w:right w:w="0" w:type="dxa"/>
          </w:tblCellMar>
        </w:tblPrEx>
        <w:trPr>
          <w:trHeight w:val="564" w:hRule="exact"/>
        </w:trPr>
        <w:tc>
          <w:tcPr>
            <w:tcW w:w="9173" w:type="dxa"/>
            <w:gridSpan w:val="6"/>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1）操作时穿戴好防护用品；</w:t>
            </w:r>
          </w:p>
        </w:tc>
      </w:tr>
      <w:tr>
        <w:tblPrEx>
          <w:tblCellMar>
            <w:top w:w="0" w:type="dxa"/>
            <w:left w:w="0" w:type="dxa"/>
            <w:bottom w:w="0" w:type="dxa"/>
            <w:right w:w="0" w:type="dxa"/>
          </w:tblCellMar>
        </w:tblPrEx>
        <w:trPr>
          <w:trHeight w:val="523" w:hRule="exact"/>
        </w:trPr>
        <w:tc>
          <w:tcPr>
            <w:tcW w:w="9173" w:type="dxa"/>
            <w:gridSpan w:val="6"/>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2）非应急人员禁止进入警戒区域；</w:t>
            </w:r>
          </w:p>
        </w:tc>
      </w:tr>
      <w:tr>
        <w:tblPrEx>
          <w:tblCellMar>
            <w:top w:w="0" w:type="dxa"/>
            <w:left w:w="0" w:type="dxa"/>
            <w:bottom w:w="0" w:type="dxa"/>
            <w:right w:w="0" w:type="dxa"/>
          </w:tblCellMar>
        </w:tblPrEx>
        <w:trPr>
          <w:trHeight w:val="484" w:hRule="exact"/>
        </w:trPr>
        <w:tc>
          <w:tcPr>
            <w:tcW w:w="9173" w:type="dxa"/>
            <w:gridSpan w:val="6"/>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left"/>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3）灭火人员位于着火区域上风向展开灭火救援工作。</w:t>
            </w:r>
          </w:p>
        </w:tc>
      </w:tr>
      <w:tr>
        <w:tblPrEx>
          <w:tblCellMar>
            <w:top w:w="0" w:type="dxa"/>
            <w:left w:w="0" w:type="dxa"/>
            <w:bottom w:w="0" w:type="dxa"/>
            <w:right w:w="0" w:type="dxa"/>
          </w:tblCellMar>
        </w:tblPrEx>
        <w:trPr>
          <w:trHeight w:val="380" w:hRule="exact"/>
        </w:trPr>
        <w:tc>
          <w:tcPr>
            <w:tcW w:w="1034" w:type="dxa"/>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r>
              <w:rPr>
                <w:rFonts w:hint="eastAsia" w:ascii="Times New Roman" w:hAnsi="Times New Roman" w:eastAsia="方正仿宋_GBK" w:cs="Times New Roman"/>
                <w:color w:val="000000"/>
                <w:spacing w:val="-6"/>
                <w:kern w:val="0"/>
                <w:sz w:val="26"/>
                <w:szCs w:val="26"/>
              </w:rPr>
              <w:t>其它说明</w:t>
            </w:r>
          </w:p>
        </w:tc>
        <w:tc>
          <w:tcPr>
            <w:tcW w:w="8139" w:type="dxa"/>
            <w:gridSpan w:val="5"/>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Times New Roman" w:hAnsi="Times New Roman" w:eastAsia="方正仿宋_GBK" w:cs="Times New Roman"/>
                <w:color w:val="000000"/>
                <w:spacing w:val="-6"/>
                <w:kern w:val="0"/>
                <w:sz w:val="26"/>
                <w:szCs w:val="26"/>
              </w:rPr>
            </w:pPr>
          </w:p>
        </w:tc>
      </w:tr>
    </w:tbl>
    <w:p>
      <w:pPr>
        <w:rPr>
          <w:rFonts w:ascii="宋体" w:hAnsi="Times New Roman" w:eastAsia="宋体" w:cs="宋体"/>
          <w:b/>
          <w:bCs/>
          <w:kern w:val="0"/>
          <w:sz w:val="24"/>
          <w:szCs w:val="20"/>
        </w:rPr>
      </w:pPr>
    </w:p>
    <w:p>
      <w:pPr>
        <w:rPr>
          <w:rFonts w:ascii="Times New Roman" w:hAnsi="Times New Roman" w:eastAsia="宋体" w:cs="Times New Roman"/>
          <w:kern w:val="0"/>
          <w:sz w:val="20"/>
          <w:szCs w:val="20"/>
        </w:rPr>
      </w:pPr>
    </w:p>
    <w:p>
      <w:pPr>
        <w:rPr>
          <w:rFonts w:ascii="Times New Roman" w:hAnsi="Times New Roman" w:eastAsia="宋体" w:cs="Times New Roman"/>
          <w:kern w:val="0"/>
          <w:sz w:val="20"/>
          <w:szCs w:val="20"/>
        </w:rPr>
      </w:pPr>
    </w:p>
    <w:p>
      <w:pPr>
        <w:widowControl w:val="0"/>
        <w:ind w:firstLine="420" w:firstLineChars="200"/>
        <w:jc w:val="both"/>
        <w:rPr>
          <w:rFonts w:hint="eastAsia" w:ascii="Times New Roman" w:hAnsi="Times New Roman" w:eastAsia="宋体" w:cs="Angsana New"/>
          <w:szCs w:val="24"/>
          <w:lang w:val="en-US" w:eastAsia="zh-CN" w:bidi="th-TH"/>
        </w:rPr>
      </w:pPr>
    </w:p>
    <w:p>
      <w:pPr>
        <w:pStyle w:val="2"/>
        <w:ind w:left="0" w:leftChars="0" w:firstLine="0" w:firstLineChars="0"/>
      </w:pPr>
    </w:p>
    <w:sectPr>
      <w:pgSz w:w="11906" w:h="16838"/>
      <w:pgMar w:top="2098" w:right="1474" w:bottom="1984"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6F5E265-98B0-4B14-91D7-8062DC2F31D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644528F-5F7A-45B1-80E1-765387F8B90E}"/>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ngsana New">
    <w:panose1 w:val="02020603050405020304"/>
    <w:charset w:val="DE"/>
    <w:family w:val="roman"/>
    <w:pitch w:val="default"/>
    <w:sig w:usb0="81000003" w:usb1="00000000" w:usb2="00000000" w:usb3="00000000" w:csb0="00010001" w:csb1="00000000"/>
    <w:embedRegular r:id="rId3" w:fontKey="{5CE2B005-DE5B-4490-BA83-69BEE4FC4308}"/>
  </w:font>
  <w:font w:name="楷体_GB2312">
    <w:altName w:val="楷体"/>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995A64A1-B611-40D0-B339-4F3C3026D7C9}"/>
  </w:font>
  <w:font w:name="方正黑体_GBK">
    <w:panose1 w:val="03000509000000000000"/>
    <w:charset w:val="86"/>
    <w:family w:val="script"/>
    <w:pitch w:val="default"/>
    <w:sig w:usb0="00000001" w:usb1="080E0000" w:usb2="00000000" w:usb3="00000000" w:csb0="00040000" w:csb1="00000000"/>
    <w:embedRegular r:id="rId5" w:fontKey="{3BD532BC-D18F-4C1B-B478-69295F31664F}"/>
  </w:font>
  <w:font w:name="方正小标宋_GBK">
    <w:panose1 w:val="03000509000000000000"/>
    <w:charset w:val="86"/>
    <w:family w:val="auto"/>
    <w:pitch w:val="default"/>
    <w:sig w:usb0="00000001" w:usb1="080E0000" w:usb2="00000000" w:usb3="00000000" w:csb0="00040000" w:csb1="00000000"/>
    <w:embedRegular r:id="rId6" w:fontKey="{41EA98CD-7BAD-4A66-B0EE-EA32EBF270A6}"/>
  </w:font>
  <w:font w:name="方正楷体_GBK">
    <w:panose1 w:val="02000000000000000000"/>
    <w:charset w:val="86"/>
    <w:family w:val="script"/>
    <w:pitch w:val="default"/>
    <w:sig w:usb0="800002BF" w:usb1="38CF7CFA" w:usb2="00000016" w:usb3="00000000" w:csb0="00040000" w:csb1="00000000"/>
    <w:embedRegular r:id="rId7" w:fontKey="{365F3A07-DA8E-4D69-ADC3-3ADFA3F40900}"/>
  </w:font>
  <w:font w:name="华文仿宋">
    <w:altName w:val="仿宋"/>
    <w:panose1 w:val="02010600040101010101"/>
    <w:charset w:val="86"/>
    <w:family w:val="auto"/>
    <w:pitch w:val="default"/>
    <w:sig w:usb0="00000000" w:usb1="00000000" w:usb2="00000010" w:usb3="00000000" w:csb0="0004009F" w:csb1="00000000"/>
    <w:embedRegular r:id="rId8" w:fontKey="{B4E94DF3-573F-43B3-A4B7-5D1028CBAF46}"/>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ascii="Times New Roman" w:hAnsi="Times New Roman" w:eastAsia="宋体" w:cs="Times New Roman"/>
        <w:kern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rPr>
        <w:rFonts w:ascii="Times New Roman" w:hAnsi="Times New Roman" w:eastAsia="宋体" w:cs="Times New Roman"/>
        <w:kern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360" w:firstLine="360"/>
      <w:jc w:val="center"/>
      <w:rPr>
        <w:rFonts w:ascii="Times New Roman" w:hAnsi="Times New Roman" w:eastAsia="宋体" w:cs="Times New Roman"/>
        <w:kern w:val="0"/>
        <w:sz w:val="28"/>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ind w:right="360" w:firstLine="360"/>
      <w:jc w:val="center"/>
      <w:rPr>
        <w:rFonts w:hint="eastAsia" w:ascii="Calibri" w:hAnsi="Calibri" w:eastAsia="宋体" w:cs="Times New Roman"/>
        <w:kern w:val="0"/>
        <w:sz w:val="18"/>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jc w:val="right"/>
      <w:rPr>
        <w:rFonts w:ascii="Times New Roman" w:hAnsi="Times New Roman" w:eastAsia="宋体" w:cs="Times New Roman"/>
        <w:kern w:val="0"/>
        <w:sz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000000" w:sz="0" w:space="1"/>
      </w:pBdr>
      <w:tabs>
        <w:tab w:val="center" w:pos="4153"/>
        <w:tab w:val="right" w:pos="8306"/>
      </w:tabs>
      <w:snapToGrid w:val="0"/>
      <w:rPr>
        <w:rFonts w:ascii="Times New Roman" w:hAnsi="Times New Roman" w:eastAsia="宋体" w:cs="Times New Roman"/>
        <w:kern w:val="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rPr>
        <w:rFonts w:hint="eastAsia" w:ascii="方正楷体_GBK" w:hAnsi="方正楷体_GBK" w:eastAsia="方正楷体_GBK" w:cs="Times New Roman"/>
        <w:kern w:val="0"/>
        <w:sz w:val="18"/>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ascii="Calibri" w:hAnsi="Calibri" w:eastAsia="宋体" w:cs="Times New Roman"/>
        <w:kern w:val="0"/>
        <w:sz w:val="1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5FF1AC"/>
    <w:multiLevelType w:val="singleLevel"/>
    <w:tmpl w:val="7A5FF1AC"/>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3OTIxMzJjYmU0MWRiZjUxNjBiNWJkOWYyODE5YTYifQ=="/>
  </w:docVars>
  <w:rsids>
    <w:rsidRoot w:val="607F4E61"/>
    <w:rsid w:val="017B3DC0"/>
    <w:rsid w:val="03BA7D93"/>
    <w:rsid w:val="19FF39A0"/>
    <w:rsid w:val="1CF42E6E"/>
    <w:rsid w:val="201A4096"/>
    <w:rsid w:val="44236837"/>
    <w:rsid w:val="534F57A0"/>
    <w:rsid w:val="607F4E61"/>
    <w:rsid w:val="63B01535"/>
    <w:rsid w:val="798A79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next w:val="1"/>
    <w:qFormat/>
    <w:uiPriority w:val="99"/>
    <w:pPr>
      <w:keepNext/>
      <w:keepLines/>
      <w:widowControl w:val="0"/>
      <w:spacing w:before="340" w:after="330" w:line="520" w:lineRule="exact"/>
      <w:jc w:val="both"/>
      <w:outlineLvl w:val="0"/>
    </w:pPr>
    <w:rPr>
      <w:rFonts w:ascii="Times New Roman" w:hAnsi="Times New Roman" w:eastAsia="仿宋_GB2312" w:cs="Times New Roman"/>
      <w:b/>
      <w:bCs/>
      <w:kern w:val="44"/>
      <w:sz w:val="32"/>
      <w:szCs w:val="44"/>
      <w:lang w:val="en-US" w:eastAsia="zh-CN" w:bidi="ar-SA"/>
    </w:rPr>
  </w:style>
  <w:style w:type="paragraph" w:styleId="4">
    <w:name w:val="heading 2"/>
    <w:next w:val="1"/>
    <w:qFormat/>
    <w:uiPriority w:val="9"/>
    <w:pPr>
      <w:keepNext/>
      <w:keepLines/>
      <w:widowControl w:val="0"/>
      <w:spacing w:before="260" w:after="260" w:line="416" w:lineRule="auto"/>
      <w:jc w:val="both"/>
      <w:outlineLvl w:val="1"/>
    </w:pPr>
    <w:rPr>
      <w:rFonts w:ascii="Cambria" w:hAnsi="Cambria" w:eastAsia="宋体" w:cs="Times New Roman"/>
      <w:b/>
      <w:bCs/>
      <w:sz w:val="32"/>
      <w:szCs w:val="32"/>
      <w:lang w:val="en-US" w:eastAsia="zh-CN" w:bidi="ar-SA"/>
    </w:rPr>
  </w:style>
  <w:style w:type="paragraph" w:styleId="5">
    <w:name w:val="heading 3"/>
    <w:next w:val="1"/>
    <w:qFormat/>
    <w:uiPriority w:val="9"/>
    <w:pPr>
      <w:keepNext/>
      <w:keepLines/>
      <w:widowControl w:val="0"/>
      <w:spacing w:before="260" w:after="260" w:line="416" w:lineRule="auto"/>
      <w:jc w:val="both"/>
      <w:outlineLvl w:val="2"/>
    </w:pPr>
    <w:rPr>
      <w:rFonts w:ascii="Times New Roman" w:hAnsi="Times New Roman" w:eastAsia="宋体" w:cs="Times New Roman"/>
      <w:b/>
      <w:bCs/>
      <w:sz w:val="32"/>
      <w:szCs w:val="32"/>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99"/>
    <w:pPr>
      <w:ind w:firstLine="420" w:firstLineChars="200"/>
    </w:pPr>
    <w:rPr>
      <w:rFonts w:cs="Angsana New"/>
      <w:szCs w:val="24"/>
      <w:lang w:bidi="th-TH"/>
    </w:rPr>
  </w:style>
  <w:style w:type="paragraph" w:styleId="6">
    <w:name w:val="Plain Text"/>
    <w:qFormat/>
    <w:uiPriority w:val="99"/>
    <w:pPr>
      <w:widowControl w:val="0"/>
      <w:jc w:val="both"/>
    </w:pPr>
    <w:rPr>
      <w:rFonts w:ascii="宋体" w:hAnsi="Courier New" w:eastAsia="宋体" w:cs="Times New Roman"/>
      <w:szCs w:val="21"/>
      <w:lang w:val="en-US" w:eastAsia="zh-CN" w:bidi="ar-SA"/>
    </w:rPr>
  </w:style>
  <w:style w:type="paragraph" w:styleId="7">
    <w:name w:val="footer"/>
    <w:unhideWhenUsed/>
    <w:qFormat/>
    <w:uiPriority w:val="99"/>
    <w:pPr>
      <w:widowControl w:val="0"/>
      <w:tabs>
        <w:tab w:val="center" w:pos="4153"/>
        <w:tab w:val="right" w:pos="8306"/>
      </w:tabs>
      <w:snapToGrid w:val="0"/>
      <w:jc w:val="left"/>
    </w:pPr>
    <w:rPr>
      <w:rFonts w:ascii="Times New Roman" w:hAnsi="Times New Roman" w:eastAsia="宋体" w:cs="Times New Roman"/>
      <w:sz w:val="18"/>
      <w:szCs w:val="18"/>
      <w:lang w:val="en-US" w:eastAsia="zh-CN" w:bidi="ar-SA"/>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next w:val="1"/>
    <w:qFormat/>
    <w:uiPriority w:val="39"/>
    <w:pPr>
      <w:widowControl w:val="0"/>
      <w:spacing w:before="120" w:after="120"/>
      <w:jc w:val="left"/>
    </w:pPr>
    <w:rPr>
      <w:rFonts w:ascii="Times New Roman" w:hAnsi="Times New Roman" w:eastAsia="宋体" w:cs="Times New Roman"/>
      <w:b/>
      <w:bCs/>
      <w:caps/>
      <w:lang w:val="en-US" w:eastAsia="zh-CN" w:bidi="ar-SA"/>
    </w:rPr>
  </w:style>
  <w:style w:type="paragraph" w:styleId="10">
    <w:name w:val="toc 2"/>
    <w:next w:val="1"/>
    <w:qFormat/>
    <w:uiPriority w:val="39"/>
    <w:pPr>
      <w:widowControl w:val="0"/>
      <w:ind w:left="200"/>
      <w:jc w:val="left"/>
    </w:pPr>
    <w:rPr>
      <w:rFonts w:ascii="Times New Roman" w:hAnsi="Times New Roman" w:eastAsia="宋体" w:cs="Times New Roman"/>
      <w:smallCaps/>
      <w:lang w:val="en-US" w:eastAsia="zh-CN" w:bidi="ar-SA"/>
    </w:rPr>
  </w:style>
  <w:style w:type="paragraph" w:styleId="11">
    <w:name w:val="Normal (Web)"/>
    <w:basedOn w:val="1"/>
    <w:qFormat/>
    <w:uiPriority w:val="0"/>
    <w:rPr>
      <w:sz w:val="24"/>
    </w:rPr>
  </w:style>
  <w:style w:type="character" w:styleId="14">
    <w:name w:val="page number"/>
    <w:qFormat/>
    <w:uiPriority w:val="0"/>
  </w:style>
  <w:style w:type="character" w:styleId="15">
    <w:name w:val="Hyperlink"/>
    <w:basedOn w:val="13"/>
    <w:qFormat/>
    <w:uiPriority w:val="0"/>
    <w:rPr>
      <w:color w:val="0000FF"/>
      <w:u w:val="single"/>
    </w:rPr>
  </w:style>
  <w:style w:type="paragraph" w:customStyle="1" w:styleId="16">
    <w:name w:val="标2"/>
    <w:qFormat/>
    <w:uiPriority w:val="0"/>
    <w:pPr>
      <w:keepNext/>
      <w:keepLines/>
      <w:widowControl w:val="0"/>
      <w:spacing w:before="260" w:after="260" w:line="240" w:lineRule="auto"/>
      <w:jc w:val="center"/>
      <w:outlineLvl w:val="1"/>
    </w:pPr>
    <w:rPr>
      <w:rFonts w:ascii="楷体_GB2312" w:hAnsi="楷体_GB2312" w:eastAsia="楷体_GB2312" w:cs="Times New Roman"/>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16951</Words>
  <Characters>18456</Characters>
  <Lines>0</Lines>
  <Paragraphs>0</Paragraphs>
  <TotalTime>1</TotalTime>
  <ScaleCrop>false</ScaleCrop>
  <LinksUpToDate>false</LinksUpToDate>
  <CharactersWithSpaces>18805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2023-05-10T01:41:00Z</dcterms:created>
  <dc:creator>Administrator</dc:creator>
  <cp:lastModifiedBy>Past</cp:lastModifiedBy>
  <dcterms:modified xsi:type="dcterms:W3CDTF">2023-09-01T01:28:47Z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7BADF0FA70D6457BA91366A7D51E3B3C_11</vt:lpwstr>
  </property>
</Properties>
</file>